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sdt>
      <w:sdtPr>
        <w:docPartObj>
          <w:docPartGallery w:val="Table of Contents"/>
          <w:docPartUnique w:val="true"/>
        </w:docPartObj>
      </w:sdtPr>
      <w:sdtContent>
        <w:p>
          <w:pPr>
            <w:pStyle w:val="Nagwekspisutreci"/>
            <w:spacing w:lineRule="auto" w:line="360" w:before="240" w:after="120"/>
            <w:rPr>
              <w:rFonts w:ascii="ISOCPEUR" w:hAnsi="ISOCPEUR"/>
            </w:rPr>
          </w:pPr>
          <w:r>
            <w:rPr>
              <w:rFonts w:ascii="ISOCPEUR" w:hAnsi="ISOCPEUR"/>
            </w:rPr>
            <w:t>SPIS TREŚCI</w:t>
          </w:r>
        </w:p>
        <w:p>
          <w:pPr>
            <w:pStyle w:val="Spistreci1"/>
            <w:tabs>
              <w:tab w:val="clear" w:pos="142"/>
              <w:tab w:val="clear" w:pos="426"/>
              <w:tab w:val="clear" w:pos="9062"/>
              <w:tab w:val="right" w:pos="9072" w:leader="dot"/>
            </w:tabs>
            <w:spacing w:lineRule="auto" w:line="360"/>
            <w:rPr/>
          </w:pPr>
          <w:r>
            <w:fldChar w:fldCharType="begin"/>
          </w:r>
          <w:r>
            <w:rPr>
              <w:webHidden/>
              <w:rStyle w:val="Czeindeksu"/>
              <w:rFonts w:ascii="ISOCPEUR" w:hAnsi="ISOCPEUR"/>
            </w:rPr>
            <w:instrText> TOC \z \o "1-3" \u \h</w:instrText>
          </w:r>
          <w:r>
            <w:rPr>
              <w:webHidden/>
              <w:rStyle w:val="Czeindeksu"/>
              <w:rFonts w:ascii="ISOCPEUR" w:hAnsi="ISOCPEUR"/>
            </w:rPr>
            <w:fldChar w:fldCharType="separate"/>
          </w:r>
          <w:hyperlink w:anchor="__RefHeading___Toc6596_1471982776">
            <w:r>
              <w:rPr>
                <w:webHidden/>
                <w:rStyle w:val="Czeindeksu"/>
                <w:rFonts w:ascii="ISOCPEUR" w:hAnsi="ISOCPEUR"/>
              </w:rPr>
              <w:t>1 PRZEDMIOT I PODSTAWA OPRACOWANIA</w:t>
              <w:tab/>
              <w:t>2</w:t>
            </w:r>
          </w:hyperlink>
        </w:p>
        <w:p>
          <w:pPr>
            <w:pStyle w:val="Spistreci2"/>
            <w:tabs>
              <w:tab w:val="clear" w:pos="284"/>
              <w:tab w:val="clear" w:pos="709"/>
              <w:tab w:val="clear" w:pos="9062"/>
              <w:tab w:val="right" w:pos="9072" w:leader="dot"/>
            </w:tabs>
            <w:spacing w:lineRule="auto" w:line="360"/>
            <w:rPr/>
          </w:pPr>
          <w:hyperlink w:anchor="__RefHeading___Toc6598_1471982776">
            <w:r>
              <w:rPr>
                <w:webHidden/>
                <w:rStyle w:val="Czeindeksu"/>
                <w:rFonts w:ascii="ISOCPEUR" w:hAnsi="ISOCPEUR"/>
              </w:rPr>
              <w:t>1.1 Przedmiot i cel opracowania</w:t>
              <w:tab/>
              <w:t>2</w:t>
            </w:r>
          </w:hyperlink>
        </w:p>
        <w:p>
          <w:pPr>
            <w:pStyle w:val="Spistreci2"/>
            <w:tabs>
              <w:tab w:val="clear" w:pos="284"/>
              <w:tab w:val="clear" w:pos="709"/>
              <w:tab w:val="clear" w:pos="9062"/>
              <w:tab w:val="right" w:pos="9072" w:leader="dot"/>
            </w:tabs>
            <w:spacing w:lineRule="auto" w:line="360"/>
            <w:rPr/>
          </w:pPr>
          <w:hyperlink w:anchor="__RefHeading___Toc6600_1471982776">
            <w:r>
              <w:rPr>
                <w:webHidden/>
                <w:rStyle w:val="Czeindeksu"/>
                <w:rFonts w:ascii="ISOCPEUR" w:hAnsi="ISOCPEUR"/>
              </w:rPr>
              <w:t>1.2 Uwagi wstępne</w:t>
              <w:tab/>
              <w:t>2</w:t>
            </w:r>
          </w:hyperlink>
        </w:p>
        <w:p>
          <w:pPr>
            <w:pStyle w:val="Spistreci2"/>
            <w:tabs>
              <w:tab w:val="clear" w:pos="284"/>
              <w:tab w:val="clear" w:pos="709"/>
              <w:tab w:val="clear" w:pos="9062"/>
              <w:tab w:val="right" w:pos="9072" w:leader="dot"/>
            </w:tabs>
            <w:spacing w:lineRule="auto" w:line="360"/>
            <w:rPr/>
          </w:pPr>
          <w:hyperlink w:anchor="__RefHeading___Toc6602_1471982776">
            <w:r>
              <w:rPr>
                <w:webHidden/>
                <w:rStyle w:val="Czeindeksu"/>
                <w:rFonts w:ascii="ISOCPEUR" w:hAnsi="ISOCPEUR"/>
              </w:rPr>
              <w:t>1.3 Podstawa opracowania</w:t>
              <w:tab/>
              <w:t>2</w:t>
            </w:r>
          </w:hyperlink>
        </w:p>
        <w:p>
          <w:pPr>
            <w:pStyle w:val="Spistreci3"/>
            <w:tabs>
              <w:tab w:val="clear" w:pos="1929"/>
              <w:tab w:val="clear" w:pos="9062"/>
              <w:tab w:val="right" w:pos="9072" w:leader="dot"/>
            </w:tabs>
            <w:spacing w:lineRule="auto" w:line="360"/>
            <w:rPr/>
          </w:pPr>
          <w:hyperlink w:anchor="__RefHeading___Toc6604_1471982776">
            <w:r>
              <w:rPr>
                <w:webHidden/>
                <w:rStyle w:val="Czeindeksu"/>
                <w:rFonts w:ascii="ISOCPEUR" w:hAnsi="ISOCPEUR"/>
              </w:rPr>
              <w:t>1.3.1 Materiały podstawowe</w:t>
              <w:tab/>
              <w:t>2</w:t>
            </w:r>
          </w:hyperlink>
        </w:p>
        <w:p>
          <w:pPr>
            <w:pStyle w:val="Spistreci3"/>
            <w:tabs>
              <w:tab w:val="clear" w:pos="1929"/>
              <w:tab w:val="clear" w:pos="9062"/>
              <w:tab w:val="right" w:pos="9072" w:leader="dot"/>
            </w:tabs>
            <w:spacing w:lineRule="auto" w:line="360"/>
            <w:rPr/>
          </w:pPr>
          <w:hyperlink w:anchor="__RefHeading___Toc6606_1471982776">
            <w:r>
              <w:rPr>
                <w:webHidden/>
                <w:rStyle w:val="Czeindeksu"/>
                <w:rFonts w:ascii="ISOCPEUR" w:hAnsi="ISOCPEUR"/>
              </w:rPr>
              <w:t>1.3.2 Akty prawne</w:t>
              <w:tab/>
              <w:t>2</w:t>
            </w:r>
          </w:hyperlink>
        </w:p>
        <w:p>
          <w:pPr>
            <w:pStyle w:val="Spistreci1"/>
            <w:tabs>
              <w:tab w:val="clear" w:pos="142"/>
              <w:tab w:val="clear" w:pos="426"/>
              <w:tab w:val="clear" w:pos="9062"/>
              <w:tab w:val="right" w:pos="9072" w:leader="dot"/>
            </w:tabs>
            <w:spacing w:lineRule="auto" w:line="360"/>
            <w:rPr/>
          </w:pPr>
          <w:hyperlink w:anchor="__RefHeading___Toc6608_1471982776">
            <w:r>
              <w:rPr>
                <w:webHidden/>
                <w:rStyle w:val="Czeindeksu"/>
                <w:rFonts w:ascii="ISOCPEUR" w:hAnsi="ISOCPEUR"/>
              </w:rPr>
              <w:t>2 OPIS STANU ISTNIEJĄCEGO</w:t>
              <w:tab/>
              <w:t>3</w:t>
            </w:r>
          </w:hyperlink>
        </w:p>
        <w:p>
          <w:pPr>
            <w:pStyle w:val="Spistreci2"/>
            <w:tabs>
              <w:tab w:val="clear" w:pos="284"/>
              <w:tab w:val="clear" w:pos="709"/>
              <w:tab w:val="clear" w:pos="9062"/>
              <w:tab w:val="right" w:pos="9072" w:leader="dot"/>
            </w:tabs>
            <w:spacing w:lineRule="auto" w:line="360"/>
            <w:rPr/>
          </w:pPr>
          <w:hyperlink w:anchor="__RefHeading___Toc6610_1471982776">
            <w:r>
              <w:rPr>
                <w:webHidden/>
                <w:rStyle w:val="Czeindeksu"/>
                <w:rFonts w:ascii="ISOCPEUR" w:hAnsi="ISOCPEUR"/>
              </w:rPr>
              <w:t>2.1 Opis stanu istniejącego</w:t>
              <w:tab/>
              <w:t>3</w:t>
            </w:r>
          </w:hyperlink>
        </w:p>
        <w:p>
          <w:pPr>
            <w:pStyle w:val="Spistreci2"/>
            <w:tabs>
              <w:tab w:val="clear" w:pos="284"/>
              <w:tab w:val="clear" w:pos="709"/>
              <w:tab w:val="clear" w:pos="9062"/>
              <w:tab w:val="right" w:pos="9072" w:leader="dot"/>
            </w:tabs>
            <w:spacing w:lineRule="auto" w:line="360"/>
            <w:rPr/>
          </w:pPr>
          <w:hyperlink w:anchor="__RefHeading___Toc6612_1471982776">
            <w:r>
              <w:rPr>
                <w:webHidden/>
                <w:rStyle w:val="Czeindeksu"/>
                <w:rFonts w:ascii="ISOCPEUR" w:hAnsi="ISOCPEUR"/>
              </w:rPr>
              <w:t>2.2 DANE OGÓLNE</w:t>
              <w:tab/>
              <w:t>3</w:t>
            </w:r>
          </w:hyperlink>
        </w:p>
        <w:p>
          <w:pPr>
            <w:pStyle w:val="Spistreci2"/>
            <w:tabs>
              <w:tab w:val="clear" w:pos="284"/>
              <w:tab w:val="clear" w:pos="709"/>
              <w:tab w:val="clear" w:pos="9062"/>
              <w:tab w:val="right" w:pos="9072" w:leader="dot"/>
            </w:tabs>
            <w:spacing w:lineRule="auto" w:line="360"/>
            <w:rPr/>
          </w:pPr>
          <w:hyperlink w:anchor="__RefHeading___Toc6614_1471982776">
            <w:r>
              <w:rPr>
                <w:webHidden/>
                <w:rStyle w:val="Czeindeksu"/>
                <w:rFonts w:ascii="ISOCPEUR" w:hAnsi="ISOCPEUR"/>
              </w:rPr>
              <w:t>2.3 Istniejące zagospodarowanie terenu</w:t>
              <w:tab/>
              <w:t>3</w:t>
            </w:r>
          </w:hyperlink>
        </w:p>
        <w:p>
          <w:pPr>
            <w:pStyle w:val="Spistreci1"/>
            <w:tabs>
              <w:tab w:val="clear" w:pos="142"/>
              <w:tab w:val="clear" w:pos="426"/>
              <w:tab w:val="clear" w:pos="9062"/>
              <w:tab w:val="right" w:pos="9072" w:leader="dot"/>
            </w:tabs>
            <w:spacing w:lineRule="auto" w:line="360"/>
            <w:rPr/>
          </w:pPr>
          <w:hyperlink w:anchor="__RefHeading___Toc6616_1471982776">
            <w:r>
              <w:rPr>
                <w:webHidden/>
                <w:rStyle w:val="Czeindeksu"/>
                <w:rFonts w:ascii="ISOCPEUR" w:hAnsi="ISOCPEUR"/>
              </w:rPr>
              <w:t>3 OPIS STANU PROJEKTOWANEGO</w:t>
              <w:tab/>
              <w:t>3</w:t>
            </w:r>
          </w:hyperlink>
        </w:p>
        <w:p>
          <w:pPr>
            <w:pStyle w:val="Spistreci2"/>
            <w:tabs>
              <w:tab w:val="clear" w:pos="284"/>
              <w:tab w:val="clear" w:pos="709"/>
              <w:tab w:val="clear" w:pos="9062"/>
              <w:tab w:val="right" w:pos="9072" w:leader="dot"/>
            </w:tabs>
            <w:spacing w:lineRule="auto" w:line="360"/>
            <w:rPr/>
          </w:pPr>
          <w:hyperlink w:anchor="__RefHeading___Toc6618_1471982776">
            <w:r>
              <w:rPr>
                <w:webHidden/>
                <w:rStyle w:val="Czeindeksu"/>
                <w:rFonts w:ascii="ISOCPEUR" w:hAnsi="ISOCPEUR"/>
              </w:rPr>
              <w:t>3.1 ROBOTY ROZBIÓRKOWE I PRACE DEMONTAŻOWE</w:t>
              <w:tab/>
              <w:t>3</w:t>
            </w:r>
          </w:hyperlink>
        </w:p>
        <w:p>
          <w:pPr>
            <w:pStyle w:val="Spistreci2"/>
            <w:tabs>
              <w:tab w:val="clear" w:pos="284"/>
              <w:tab w:val="clear" w:pos="709"/>
              <w:tab w:val="clear" w:pos="9062"/>
              <w:tab w:val="right" w:pos="9072" w:leader="dot"/>
            </w:tabs>
            <w:spacing w:lineRule="auto" w:line="360"/>
            <w:rPr/>
          </w:pPr>
          <w:hyperlink w:anchor="__RefHeading___Toc6626_1471982776">
            <w:r>
              <w:rPr>
                <w:webHidden/>
                <w:rStyle w:val="Czeindeksu"/>
                <w:rFonts w:ascii="ISOCPEUR" w:hAnsi="ISOCPEUR"/>
              </w:rPr>
              <w:t>3.2 Rozwiązania Instalacji Sanitarnych</w:t>
              <w:tab/>
              <w:t>3</w:t>
            </w:r>
          </w:hyperlink>
        </w:p>
        <w:p>
          <w:pPr>
            <w:pStyle w:val="Spistreci3"/>
            <w:tabs>
              <w:tab w:val="clear" w:pos="1929"/>
              <w:tab w:val="clear" w:pos="9062"/>
              <w:tab w:val="right" w:pos="9072" w:leader="dot"/>
            </w:tabs>
            <w:spacing w:lineRule="auto" w:line="360"/>
            <w:rPr/>
          </w:pPr>
          <w:hyperlink w:anchor="__RefHeading___Toc6630_14719827762">
            <w:r>
              <w:rPr>
                <w:webHidden/>
                <w:rStyle w:val="Czeindeksu"/>
                <w:rFonts w:ascii="ISOCPEUR" w:hAnsi="ISOCPEUR"/>
              </w:rPr>
              <w:t>3.2.1 INSTALACJA GRZEWCZA BUDYNKU SUW</w:t>
              <w:tab/>
              <w:t>3</w:t>
            </w:r>
          </w:hyperlink>
        </w:p>
        <w:p>
          <w:pPr>
            <w:pStyle w:val="Spistreci3"/>
            <w:tabs>
              <w:tab w:val="clear" w:pos="1929"/>
              <w:tab w:val="clear" w:pos="9062"/>
              <w:tab w:val="right" w:pos="9072" w:leader="dot"/>
            </w:tabs>
            <w:spacing w:lineRule="auto" w:line="360"/>
            <w:rPr/>
          </w:pPr>
          <w:hyperlink w:anchor="__RefHeading___Toc6630_147198277621">
            <w:r>
              <w:rPr>
                <w:webHidden/>
                <w:rStyle w:val="Czeindeksu"/>
                <w:rFonts w:ascii="ISOCPEUR" w:hAnsi="ISOCPEUR"/>
              </w:rPr>
              <w:t xml:space="preserve">3.2.2 </w:t>
            </w:r>
            <w:r>
              <w:rPr>
                <w:rStyle w:val="Czeindeksu"/>
                <w:rFonts w:ascii="ISOCPEUR" w:hAnsi="ISOCPEUR"/>
                <w:i w:val="false"/>
              </w:rPr>
              <w:t>INSTALACJA WOD-KAN BUDYNKU SUW</w:t>
            </w:r>
            <w:r>
              <w:rPr>
                <w:rStyle w:val="Czeindeksu"/>
                <w:rFonts w:ascii="ISOCPEUR" w:hAnsi="ISOCPEUR"/>
              </w:rPr>
              <w:tab/>
              <w:t>3</w:t>
            </w:r>
          </w:hyperlink>
        </w:p>
        <w:p>
          <w:pPr>
            <w:pStyle w:val="Spistreci3"/>
            <w:tabs>
              <w:tab w:val="clear" w:pos="1929"/>
              <w:tab w:val="clear" w:pos="9062"/>
              <w:tab w:val="right" w:pos="9072" w:leader="dot"/>
            </w:tabs>
            <w:spacing w:lineRule="auto" w:line="360"/>
            <w:rPr/>
          </w:pPr>
          <w:hyperlink w:anchor="__RefHeading___Toc6630_1471982776211">
            <w:r>
              <w:rPr>
                <w:webHidden/>
                <w:rStyle w:val="Czeindeksu"/>
                <w:rFonts w:ascii="ISOCPEUR" w:hAnsi="ISOCPEUR"/>
              </w:rPr>
              <w:t xml:space="preserve">3.2.3 </w:t>
            </w:r>
            <w:r>
              <w:rPr>
                <w:rStyle w:val="Czeindeksu"/>
                <w:rFonts w:ascii="ISOCPEUR" w:hAnsi="ISOCPEUR"/>
                <w:i w:val="false"/>
              </w:rPr>
              <w:t>INSTALACJA WENTYLACJI BUDYNKU SUW</w:t>
            </w:r>
            <w:r>
              <w:rPr>
                <w:rStyle w:val="Czeindeksu"/>
                <w:rFonts w:ascii="ISOCPEUR" w:hAnsi="ISOCPEUR"/>
              </w:rPr>
              <w:tab/>
              <w:t>4</w:t>
            </w:r>
          </w:hyperlink>
        </w:p>
        <w:p>
          <w:pPr>
            <w:pStyle w:val="Spistreci2"/>
            <w:tabs>
              <w:tab w:val="clear" w:pos="284"/>
              <w:tab w:val="clear" w:pos="709"/>
              <w:tab w:val="clear" w:pos="9062"/>
              <w:tab w:val="right" w:pos="9072" w:leader="dot"/>
            </w:tabs>
            <w:spacing w:lineRule="auto" w:line="360"/>
            <w:rPr/>
          </w:pPr>
          <w:hyperlink w:anchor="__RefHeading___Toc6628_1471982776">
            <w:r>
              <w:rPr>
                <w:webHidden/>
                <w:rStyle w:val="Czeindeksu"/>
                <w:rFonts w:ascii="ISOCPEUR" w:hAnsi="ISOCPEUR"/>
              </w:rPr>
              <w:t>3.3 Rozwiązania Technologiczne</w:t>
              <w:tab/>
              <w:t>4</w:t>
            </w:r>
          </w:hyperlink>
        </w:p>
        <w:p>
          <w:pPr>
            <w:pStyle w:val="Spistreci3"/>
            <w:tabs>
              <w:tab w:val="clear" w:pos="1929"/>
              <w:tab w:val="clear" w:pos="9062"/>
              <w:tab w:val="right" w:pos="9072" w:leader="dot"/>
            </w:tabs>
            <w:spacing w:lineRule="auto" w:line="360"/>
            <w:rPr/>
          </w:pPr>
          <w:hyperlink w:anchor="__RefHeading___Toc6630_1471982776">
            <w:r>
              <w:rPr>
                <w:webHidden/>
                <w:rStyle w:val="Czeindeksu"/>
                <w:rFonts w:ascii="ISOCPEUR" w:hAnsi="ISOCPEUR"/>
              </w:rPr>
              <w:t>3.3.1 AERACJA CIŚNIENIOWA – NAPOWIETRZANIE WODY SUROWEJ</w:t>
              <w:tab/>
              <w:t>4</w:t>
            </w:r>
          </w:hyperlink>
        </w:p>
        <w:p>
          <w:pPr>
            <w:pStyle w:val="Spistreci3"/>
            <w:tabs>
              <w:tab w:val="clear" w:pos="1929"/>
              <w:tab w:val="clear" w:pos="9062"/>
              <w:tab w:val="right" w:pos="9072" w:leader="dot"/>
            </w:tabs>
            <w:spacing w:lineRule="auto" w:line="360"/>
            <w:rPr/>
          </w:pPr>
          <w:hyperlink w:anchor="__RefHeading___Toc6630_14719827761">
            <w:r>
              <w:rPr>
                <w:webHidden/>
                <w:rStyle w:val="Czeindeksu"/>
                <w:rFonts w:ascii="ISOCPEUR" w:hAnsi="ISOCPEUR"/>
              </w:rPr>
              <w:t>3.3.2 FILTRACJA CIŚNIENIOWA – ODŻELAZIANIE</w:t>
              <w:tab/>
              <w:t>6</w:t>
            </w:r>
          </w:hyperlink>
        </w:p>
        <w:p>
          <w:pPr>
            <w:pStyle w:val="Spistreci3"/>
            <w:tabs>
              <w:tab w:val="clear" w:pos="1929"/>
              <w:tab w:val="clear" w:pos="9062"/>
              <w:tab w:val="right" w:pos="9072" w:leader="dot"/>
            </w:tabs>
            <w:spacing w:lineRule="auto" w:line="360"/>
            <w:rPr/>
          </w:pPr>
          <w:hyperlink w:anchor="__RefHeading___Toc6632_1471982776">
            <w:r>
              <w:rPr>
                <w:webHidden/>
                <w:rStyle w:val="Czeindeksu"/>
                <w:rFonts w:ascii="ISOCPEUR" w:hAnsi="ISOCPEUR"/>
              </w:rPr>
              <w:t>3.3.3 MONTAŻ UKŁADU TECHNOLOGICZNEGO</w:t>
              <w:tab/>
              <w:t>6</w:t>
            </w:r>
          </w:hyperlink>
        </w:p>
        <w:p>
          <w:pPr>
            <w:pStyle w:val="Spistreci3"/>
            <w:tabs>
              <w:tab w:val="clear" w:pos="1929"/>
              <w:tab w:val="clear" w:pos="9062"/>
              <w:tab w:val="right" w:pos="9072" w:leader="dot"/>
            </w:tabs>
            <w:spacing w:lineRule="auto" w:line="360"/>
            <w:rPr/>
          </w:pPr>
          <w:hyperlink w:anchor="__RefHeading___Toc6634_1471982776121">
            <w:r>
              <w:rPr>
                <w:webHidden/>
                <w:rStyle w:val="Czeindeksu"/>
                <w:rFonts w:ascii="ISOCPEUR" w:hAnsi="ISOCPEUR"/>
              </w:rPr>
              <w:t>3.3.4 ARMATURA POMIAROWA I ODCINAJĄCA</w:t>
              <w:tab/>
              <w:t>6</w:t>
            </w:r>
          </w:hyperlink>
        </w:p>
        <w:p>
          <w:pPr>
            <w:pStyle w:val="Spistreci3"/>
            <w:tabs>
              <w:tab w:val="clear" w:pos="1929"/>
              <w:tab w:val="clear" w:pos="9062"/>
              <w:tab w:val="right" w:pos="9072" w:leader="dot"/>
            </w:tabs>
            <w:spacing w:lineRule="auto" w:line="360"/>
            <w:rPr/>
          </w:pPr>
          <w:hyperlink w:anchor="__RefHeading___Toc6634_14719827761">
            <w:r>
              <w:rPr>
                <w:webHidden/>
                <w:rStyle w:val="Czeindeksu"/>
                <w:rFonts w:ascii="ISOCPEUR" w:hAnsi="ISOCPEUR"/>
              </w:rPr>
              <w:t>3.3.5 DEZYNFEKCJA WODY UZDATNIONEJ</w:t>
              <w:tab/>
              <w:t>7</w:t>
            </w:r>
          </w:hyperlink>
        </w:p>
        <w:p>
          <w:pPr>
            <w:pStyle w:val="Spistreci3"/>
            <w:tabs>
              <w:tab w:val="clear" w:pos="1929"/>
              <w:tab w:val="clear" w:pos="9062"/>
              <w:tab w:val="right" w:pos="9072" w:leader="dot"/>
            </w:tabs>
            <w:spacing w:lineRule="auto" w:line="360"/>
            <w:rPr/>
          </w:pPr>
          <w:hyperlink w:anchor="__RefHeading___Toc6630_147198277611">
            <w:r>
              <w:rPr>
                <w:webHidden/>
                <w:rStyle w:val="Czeindeksu"/>
                <w:rFonts w:ascii="ISOCPEUR" w:hAnsi="ISOCPEUR"/>
              </w:rPr>
              <w:t>3.3.6 MONTAŻ LAMPY UV (DEZYNFEKCJA BAKTERIOLOGICZNA)</w:t>
              <w:tab/>
              <w:t>8</w:t>
            </w:r>
          </w:hyperlink>
        </w:p>
        <w:p>
          <w:pPr>
            <w:pStyle w:val="Spistreci3"/>
            <w:tabs>
              <w:tab w:val="clear" w:pos="1929"/>
              <w:tab w:val="clear" w:pos="9062"/>
              <w:tab w:val="right" w:pos="9072" w:leader="dot"/>
            </w:tabs>
            <w:spacing w:lineRule="auto" w:line="360"/>
            <w:rPr/>
          </w:pPr>
          <w:hyperlink w:anchor="__RefHeading___Toc6634_1471982776">
            <w:r>
              <w:rPr>
                <w:webHidden/>
                <w:rStyle w:val="Czeindeksu"/>
                <w:rFonts w:ascii="ISOCPEUR" w:hAnsi="ISOCPEUR"/>
              </w:rPr>
              <w:t>3.3.7 MONTAŻ OSUSZACZA POWIETRZA</w:t>
              <w:tab/>
              <w:t>8</w:t>
            </w:r>
          </w:hyperlink>
        </w:p>
        <w:p>
          <w:pPr>
            <w:pStyle w:val="Spistreci3"/>
            <w:tabs>
              <w:tab w:val="clear" w:pos="1929"/>
              <w:tab w:val="clear" w:pos="9062"/>
              <w:tab w:val="right" w:pos="9072" w:leader="dot"/>
            </w:tabs>
            <w:spacing w:lineRule="auto" w:line="360"/>
            <w:rPr/>
          </w:pPr>
          <w:hyperlink w:anchor="__RefHeading___Toc6634_147198277611">
            <w:r>
              <w:rPr>
                <w:webHidden/>
                <w:rStyle w:val="Czeindeksu"/>
                <w:rFonts w:ascii="ISOCPEUR" w:hAnsi="ISOCPEUR"/>
              </w:rPr>
              <w:t>3.3.8 ROZDZIELNICA TECHNOLOGICZNA</w:t>
              <w:tab/>
              <w:t>9</w:t>
            </w:r>
          </w:hyperlink>
        </w:p>
        <w:p>
          <w:pPr>
            <w:pStyle w:val="Spistreci1"/>
            <w:tabs>
              <w:tab w:val="clear" w:pos="142"/>
              <w:tab w:val="clear" w:pos="426"/>
              <w:tab w:val="clear" w:pos="9062"/>
              <w:tab w:val="right" w:pos="9072" w:leader="dot"/>
            </w:tabs>
            <w:spacing w:lineRule="auto" w:line="360"/>
            <w:rPr/>
          </w:pPr>
          <w:hyperlink w:anchor="__RefHeading___Toc6654_1471982776">
            <w:r>
              <w:rPr>
                <w:webHidden/>
                <w:rStyle w:val="Czeindeksu"/>
                <w:rFonts w:ascii="ISOCPEUR" w:hAnsi="ISOCPEUR"/>
              </w:rPr>
              <w:t>4 technologia wykonania robót</w:t>
              <w:tab/>
              <w:t>9</w:t>
            </w:r>
          </w:hyperlink>
        </w:p>
        <w:p>
          <w:pPr>
            <w:pStyle w:val="Spistreci2"/>
            <w:tabs>
              <w:tab w:val="clear" w:pos="284"/>
              <w:tab w:val="clear" w:pos="709"/>
              <w:tab w:val="clear" w:pos="9062"/>
              <w:tab w:val="right" w:pos="9072" w:leader="dot"/>
            </w:tabs>
            <w:spacing w:lineRule="auto" w:line="360"/>
            <w:rPr/>
          </w:pPr>
          <w:hyperlink w:anchor="__RefHeading___Toc6656_1471982776">
            <w:r>
              <w:rPr>
                <w:webHidden/>
                <w:rStyle w:val="Czeindeksu"/>
                <w:rFonts w:ascii="ISOCPEUR" w:hAnsi="ISOCPEUR"/>
              </w:rPr>
              <w:t>4.1 Montaż rurociągów technologicznych i armatury</w:t>
              <w:tab/>
              <w:t>9</w:t>
            </w:r>
          </w:hyperlink>
        </w:p>
        <w:p>
          <w:pPr>
            <w:pStyle w:val="Spistreci2"/>
            <w:tabs>
              <w:tab w:val="clear" w:pos="284"/>
              <w:tab w:val="clear" w:pos="709"/>
              <w:tab w:val="clear" w:pos="9062"/>
              <w:tab w:val="right" w:pos="9072" w:leader="dot"/>
            </w:tabs>
            <w:spacing w:lineRule="auto" w:line="360"/>
            <w:rPr/>
          </w:pPr>
          <w:hyperlink w:anchor="__RefHeading___Toc6656_14719827761">
            <w:r>
              <w:rPr>
                <w:webHidden/>
                <w:rStyle w:val="Czeindeksu"/>
                <w:rFonts w:ascii="ISOCPEUR" w:hAnsi="ISOCPEUR"/>
              </w:rPr>
              <w:t>4.2 Próby i dezynfekcja</w:t>
              <w:tab/>
              <w:t>10</w:t>
            </w:r>
          </w:hyperlink>
        </w:p>
        <w:p>
          <w:pPr>
            <w:pStyle w:val="Spistreci1"/>
            <w:tabs>
              <w:tab w:val="clear" w:pos="142"/>
              <w:tab w:val="clear" w:pos="426"/>
              <w:tab w:val="clear" w:pos="9062"/>
              <w:tab w:val="right" w:pos="9072" w:leader="dot"/>
            </w:tabs>
            <w:spacing w:lineRule="auto" w:line="360"/>
            <w:rPr/>
          </w:pPr>
          <w:hyperlink w:anchor="__RefHeading___Toc6664_1471982776">
            <w:r>
              <w:rPr>
                <w:webHidden/>
                <w:rStyle w:val="Czeindeksu"/>
                <w:rFonts w:ascii="ISOCPEUR" w:hAnsi="ISOCPEUR"/>
              </w:rPr>
              <w:t>5 Informacja dotycząca Bezpieczeństwa i Ochrony Zdrowia</w:t>
              <w:tab/>
              <w:t>10</w:t>
            </w:r>
          </w:hyperlink>
        </w:p>
        <w:p>
          <w:pPr>
            <w:pStyle w:val="Spistreci2"/>
            <w:tabs>
              <w:tab w:val="clear" w:pos="284"/>
              <w:tab w:val="clear" w:pos="709"/>
              <w:tab w:val="clear" w:pos="9062"/>
              <w:tab w:val="right" w:pos="9072" w:leader="dot"/>
            </w:tabs>
            <w:spacing w:lineRule="auto" w:line="360"/>
            <w:rPr/>
          </w:pPr>
          <w:hyperlink w:anchor="__RefHeading___Toc6666_1471982776">
            <w:r>
              <w:rPr>
                <w:webHidden/>
                <w:rStyle w:val="Czeindeksu"/>
                <w:rFonts w:ascii="ISOCPEUR" w:hAnsi="ISOCPEUR"/>
              </w:rPr>
              <w:t>5.1 Elementy zagospodarowania terenu mogące powodować zagrożenie podczas prowadzenia robót</w:t>
              <w:tab/>
              <w:t>10</w:t>
            </w:r>
          </w:hyperlink>
        </w:p>
        <w:p>
          <w:pPr>
            <w:pStyle w:val="Spistreci2"/>
            <w:tabs>
              <w:tab w:val="clear" w:pos="284"/>
              <w:tab w:val="clear" w:pos="709"/>
              <w:tab w:val="clear" w:pos="9062"/>
              <w:tab w:val="right" w:pos="9072" w:leader="dot"/>
            </w:tabs>
            <w:spacing w:lineRule="auto" w:line="360"/>
            <w:rPr/>
          </w:pPr>
          <w:hyperlink w:anchor="__RefHeading___Toc6668_1471982776">
            <w:r>
              <w:rPr>
                <w:webHidden/>
                <w:rStyle w:val="Czeindeksu"/>
                <w:rFonts w:ascii="ISOCPEUR" w:hAnsi="ISOCPEUR"/>
              </w:rPr>
              <w:t>5.2 informacje dotyczące przewidzianych zagrożeń występujących podczas realizacji robót budowlanych</w:t>
              <w:tab/>
              <w:t>10</w:t>
            </w:r>
          </w:hyperlink>
        </w:p>
        <w:p>
          <w:pPr>
            <w:pStyle w:val="Spistreci2"/>
            <w:tabs>
              <w:tab w:val="clear" w:pos="284"/>
              <w:tab w:val="clear" w:pos="709"/>
              <w:tab w:val="clear" w:pos="9062"/>
              <w:tab w:val="right" w:pos="9072" w:leader="dot"/>
            </w:tabs>
            <w:spacing w:lineRule="auto" w:line="360"/>
            <w:rPr/>
          </w:pPr>
          <w:hyperlink w:anchor="__RefHeading___Toc6670_1471982776">
            <w:r>
              <w:rPr>
                <w:webHidden/>
                <w:rStyle w:val="Czeindeksu"/>
                <w:rFonts w:ascii="ISOCPEUR" w:hAnsi="ISOCPEUR"/>
              </w:rPr>
              <w:t>5.3 Sposób prowadzenia instruktażu</w:t>
              <w:tab/>
              <w:t>10</w:t>
            </w:r>
          </w:hyperlink>
        </w:p>
        <w:p>
          <w:pPr>
            <w:pStyle w:val="Spistreci2"/>
            <w:tabs>
              <w:tab w:val="clear" w:pos="284"/>
              <w:tab w:val="clear" w:pos="709"/>
              <w:tab w:val="clear" w:pos="9062"/>
              <w:tab w:val="right" w:pos="9072" w:leader="dot"/>
            </w:tabs>
            <w:spacing w:lineRule="auto" w:line="360"/>
            <w:rPr/>
          </w:pPr>
          <w:hyperlink w:anchor="__RefHeading___Toc6672_1471982776">
            <w:r>
              <w:rPr>
                <w:webHidden/>
                <w:rStyle w:val="Czeindeksu"/>
                <w:rFonts w:ascii="ISOCPEUR" w:hAnsi="ISOCPEUR"/>
              </w:rPr>
              <w:t>5.4 Środki techniczne i organizacyjne zapobiegające niebezpieczeństwom wynikającym z wykonania robót budowlanych</w:t>
              <w:tab/>
              <w:t>11</w:t>
            </w:r>
          </w:hyperlink>
        </w:p>
        <w:p>
          <w:pPr>
            <w:pStyle w:val="Spistreci1"/>
            <w:tabs>
              <w:tab w:val="clear" w:pos="142"/>
              <w:tab w:val="clear" w:pos="426"/>
              <w:tab w:val="clear" w:pos="9062"/>
              <w:tab w:val="right" w:pos="9072" w:leader="dot"/>
            </w:tabs>
            <w:spacing w:lineRule="auto" w:line="360"/>
            <w:rPr/>
          </w:pPr>
          <w:hyperlink w:anchor="__RefHeading___Toc6674_1471982776">
            <w:r>
              <w:rPr>
                <w:webHidden/>
                <w:rStyle w:val="Czeindeksu"/>
                <w:rFonts w:ascii="ISOCPEUR" w:hAnsi="ISOCPEUR"/>
              </w:rPr>
              <w:t>6 UWAGI KOŃCOWE</w:t>
              <w:tab/>
              <w:t>11</w:t>
            </w:r>
          </w:hyperlink>
        </w:p>
        <w:p>
          <w:pPr>
            <w:pStyle w:val="Spistreci1"/>
            <w:tabs>
              <w:tab w:val="clear" w:pos="142"/>
              <w:tab w:val="clear" w:pos="426"/>
              <w:tab w:val="clear" w:pos="9062"/>
              <w:tab w:val="right" w:pos="9072" w:leader="dot"/>
            </w:tabs>
            <w:spacing w:lineRule="auto" w:line="360"/>
            <w:rPr/>
          </w:pPr>
          <w:hyperlink w:anchor="__RefHeading___Toc6676_1471982776">
            <w:r>
              <w:rPr>
                <w:webHidden/>
                <w:rStyle w:val="Czeindeksu"/>
                <w:rFonts w:ascii="ISOCPEUR" w:hAnsi="ISOCPEUR"/>
              </w:rPr>
              <w:t>7 CZĘŚĆ RYSUNKOWA</w:t>
              <w:tab/>
              <w:t>11</w:t>
            </w:r>
          </w:hyperlink>
          <w:r>
            <w:rPr>
              <w:rStyle w:val="Czeindeksu"/>
              <w:rFonts w:ascii="ISOCPEUR" w:hAnsi="ISOCPEUR"/>
            </w:rPr>
            <w:fldChar w:fldCharType="end"/>
          </w:r>
        </w:p>
      </w:sdtContent>
    </w:sdt>
    <w:p>
      <w:pPr>
        <w:pStyle w:val="Normal"/>
        <w:spacing w:lineRule="auto" w:line="360"/>
        <w:rPr>
          <w:rFonts w:ascii="ISOCPEUR" w:hAnsi="ISOCPEUR"/>
          <w:sz w:val="24"/>
          <w:szCs w:val="24"/>
        </w:rPr>
      </w:pPr>
      <w:r>
        <w:rPr>
          <w:rFonts w:ascii="ISOCPEUR" w:hAnsi="ISOCPEUR"/>
          <w:sz w:val="24"/>
          <w:szCs w:val="24"/>
        </w:rPr>
      </w:r>
    </w:p>
    <w:p>
      <w:pPr>
        <w:pStyle w:val="Normal"/>
        <w:spacing w:lineRule="auto" w:line="360"/>
        <w:rPr>
          <w:rFonts w:ascii="ISOCPEUR" w:hAnsi="ISOCPEUR"/>
          <w:sz w:val="24"/>
          <w:szCs w:val="24"/>
        </w:rPr>
      </w:pPr>
      <w:r>
        <w:rPr>
          <w:rFonts w:ascii="ISOCPEUR" w:hAnsi="ISOCPEUR"/>
          <w:sz w:val="24"/>
          <w:szCs w:val="24"/>
        </w:rPr>
      </w:r>
    </w:p>
    <w:p>
      <w:pPr>
        <w:pStyle w:val="Normal"/>
        <w:spacing w:lineRule="auto" w:line="360"/>
        <w:rPr>
          <w:rFonts w:ascii="ISOCPEUR" w:hAnsi="ISOCPEUR"/>
          <w:sz w:val="24"/>
          <w:szCs w:val="24"/>
        </w:rPr>
      </w:pPr>
      <w:r>
        <w:rPr>
          <w:rFonts w:ascii="ISOCPEUR" w:hAnsi="ISOCPEUR"/>
          <w:sz w:val="24"/>
          <w:szCs w:val="24"/>
        </w:rPr>
      </w:r>
    </w:p>
    <w:p>
      <w:pPr>
        <w:pStyle w:val="Normal"/>
        <w:spacing w:lineRule="auto" w:line="360"/>
        <w:rPr>
          <w:rFonts w:ascii="ISOCPEUR" w:hAnsi="ISOCPEUR"/>
          <w:sz w:val="18"/>
          <w:szCs w:val="18"/>
        </w:rPr>
      </w:pPr>
      <w:r>
        <w:rPr>
          <w:rFonts w:ascii="ISOCPEUR" w:hAnsi="ISOCPEUR"/>
          <w:sz w:val="18"/>
          <w:szCs w:val="18"/>
        </w:rPr>
      </w:r>
    </w:p>
    <w:p>
      <w:pPr>
        <w:pStyle w:val="Normal"/>
        <w:spacing w:lineRule="auto" w:line="360"/>
        <w:rPr>
          <w:rFonts w:ascii="ISOCPEUR" w:hAnsi="ISOCPEUR"/>
        </w:rPr>
      </w:pPr>
      <w:r>
        <w:rPr>
          <w:rFonts w:ascii="ISOCPEUR" w:hAnsi="ISOCPEUR"/>
        </w:rPr>
      </w:r>
    </w:p>
    <w:p>
      <w:pPr>
        <w:pStyle w:val="Normal"/>
        <w:spacing w:lineRule="auto" w:line="360"/>
        <w:rPr>
          <w:rFonts w:ascii="ISOCPEUR" w:hAnsi="ISOCPEUR"/>
        </w:rPr>
      </w:pPr>
      <w:r>
        <w:rPr>
          <w:rFonts w:ascii="ISOCPEUR" w:hAnsi="ISOCPEUR"/>
        </w:rPr>
      </w:r>
    </w:p>
    <w:p>
      <w:pPr>
        <w:pStyle w:val="Normal"/>
        <w:spacing w:lineRule="auto" w:line="360"/>
        <w:rPr>
          <w:rFonts w:ascii="ISOCPEUR" w:hAnsi="ISOCPEUR"/>
        </w:rPr>
      </w:pPr>
      <w:r>
        <w:rPr>
          <w:rFonts w:ascii="ISOCPEUR" w:hAnsi="ISOCPEUR"/>
        </w:rPr>
      </w:r>
    </w:p>
    <w:p>
      <w:pPr>
        <w:pStyle w:val="Normal"/>
        <w:spacing w:lineRule="auto" w:line="360"/>
        <w:rPr>
          <w:rFonts w:ascii="ISOCPEUR" w:hAnsi="ISOCPEUR"/>
        </w:rPr>
      </w:pPr>
      <w:r>
        <w:rPr>
          <w:rFonts w:ascii="ISOCPEUR" w:hAnsi="ISOCPEUR"/>
        </w:rPr>
      </w:r>
    </w:p>
    <w:p>
      <w:pPr>
        <w:pStyle w:val="Nagwek1"/>
        <w:shd w:val="clear" w:color="auto" w:fill="auto"/>
        <w:spacing w:lineRule="auto" w:line="360"/>
        <w:rPr>
          <w:rFonts w:ascii="ISOCPEUR" w:hAnsi="ISOCPEUR"/>
        </w:rPr>
      </w:pPr>
      <w:bookmarkStart w:id="0" w:name="__RefHeading___Toc6596_1471982776"/>
      <w:bookmarkStart w:id="1" w:name="_Toc90976236"/>
      <w:bookmarkStart w:id="2" w:name="_Toc185095263"/>
      <w:bookmarkEnd w:id="0"/>
      <w:r>
        <w:rPr>
          <w:rFonts w:ascii="ISOCPEUR" w:hAnsi="ISOCPEUR"/>
        </w:rPr>
        <w:t>PRZEDMIOT I PODSTAWA OPRACOWANIA</w:t>
      </w:r>
      <w:bookmarkEnd w:id="1"/>
      <w:bookmarkEnd w:id="2"/>
    </w:p>
    <w:p>
      <w:pPr>
        <w:pStyle w:val="Normal"/>
        <w:spacing w:lineRule="auto" w:line="360" w:before="0" w:after="120"/>
        <w:ind w:left="2126" w:hanging="2126"/>
        <w:rPr>
          <w:rFonts w:ascii="ISOCPEUR" w:hAnsi="ISOCPEUR"/>
        </w:rPr>
      </w:pPr>
      <w:r>
        <w:rPr>
          <w:rFonts w:ascii="ISOCPEUR" w:hAnsi="ISOCPEUR"/>
          <w:b/>
          <w:bCs/>
        </w:rPr>
        <w:t>INWESTYCJA:</w:t>
        <w:tab/>
      </w:r>
      <w:r>
        <w:rPr>
          <w:rFonts w:ascii="ISOCPEUR" w:hAnsi="ISOCPEUR"/>
          <w:b w:val="false"/>
          <w:bCs w:val="false"/>
        </w:rPr>
        <w:t>REMONT BUDYNKU TECHNICZNEGO STACJI UJĘCIA WODY WRAZ Z REMONTEM UKŁADU TECHNOLOGICZNEGO URZĄDZE</w:t>
      </w:r>
      <w:r>
        <w:rPr>
          <w:rFonts w:ascii="ISOCPEUR" w:hAnsi="ISOCPEUR"/>
          <w:b w:val="false"/>
          <w:bCs w:val="false"/>
        </w:rPr>
        <w:t>Ń</w:t>
      </w:r>
      <w:r>
        <w:rPr>
          <w:rFonts w:ascii="ISOCPEUR" w:hAnsi="ISOCPEUR"/>
          <w:b w:val="false"/>
          <w:bCs w:val="false"/>
        </w:rPr>
        <w:t xml:space="preserve"> WEWNĄTRZ BUDYNKU I INSTALACJI ELEKTRYCZNEJ </w:t>
      </w:r>
    </w:p>
    <w:p>
      <w:pPr>
        <w:pStyle w:val="Normal"/>
        <w:spacing w:lineRule="auto" w:line="360" w:before="0" w:after="0"/>
        <w:rPr>
          <w:rFonts w:ascii="ISOCPEUR" w:hAnsi="ISOCPEUR"/>
        </w:rPr>
      </w:pPr>
      <w:r>
        <w:rPr>
          <w:rFonts w:ascii="ISOCPEUR" w:hAnsi="ISOCPEUR"/>
          <w:b/>
          <w:bCs/>
        </w:rPr>
        <w:t>ADRES:</w:t>
      </w:r>
      <w:r>
        <w:rPr>
          <w:rFonts w:ascii="ISOCPEUR" w:hAnsi="ISOCPEUR"/>
        </w:rPr>
        <w:tab/>
        <w:tab/>
        <w:tab/>
      </w:r>
      <w:r>
        <w:rPr>
          <w:rFonts w:eastAsia="" w:cs="" w:ascii="ISOCPEUR" w:hAnsi="ISOCPEUR" w:cstheme="minorBidi" w:eastAsiaTheme="minorEastAsia"/>
          <w:color w:val="auto"/>
          <w:kern w:val="0"/>
          <w:sz w:val="22"/>
          <w:szCs w:val="22"/>
          <w:lang w:val="pl-PL" w:eastAsia="en-US" w:bidi="ar-SA"/>
        </w:rPr>
        <w:t>NOWY KRĘPIEC</w:t>
      </w:r>
      <w:bookmarkStart w:id="3" w:name="_Hlk133496658"/>
      <w:r>
        <w:rPr>
          <w:rFonts w:ascii="ISOCPEUR" w:hAnsi="ISOCPEUR"/>
        </w:rPr>
        <w:t xml:space="preserve">, DZ. EWID. NR </w:t>
      </w:r>
      <w:r>
        <w:rPr>
          <w:rFonts w:eastAsia="" w:cs="" w:ascii="ISOCPEUR" w:hAnsi="ISOCPEUR" w:cstheme="minorBidi" w:eastAsiaTheme="minorEastAsia"/>
          <w:color w:val="auto"/>
          <w:kern w:val="0"/>
          <w:sz w:val="22"/>
          <w:szCs w:val="22"/>
          <w:lang w:val="pl-PL" w:eastAsia="en-US" w:bidi="ar-SA"/>
        </w:rPr>
        <w:t>521/4</w:t>
      </w:r>
    </w:p>
    <w:p>
      <w:pPr>
        <w:pStyle w:val="Normal"/>
        <w:spacing w:lineRule="auto" w:line="360" w:before="0" w:after="0"/>
        <w:ind w:left="1416" w:firstLine="708"/>
        <w:rPr>
          <w:rFonts w:ascii="ISOCPEUR" w:hAnsi="ISOCPEUR"/>
        </w:rPr>
      </w:pPr>
      <w:r>
        <w:rPr>
          <w:rFonts w:ascii="ISOCPEUR" w:hAnsi="ISOCPEUR"/>
        </w:rPr>
        <w:t>21-007 MEŁGIEW</w:t>
      </w:r>
    </w:p>
    <w:p>
      <w:pPr>
        <w:pStyle w:val="Normal"/>
        <w:spacing w:lineRule="auto" w:line="360" w:before="0" w:after="0"/>
        <w:rPr>
          <w:rFonts w:ascii="ISOCPEUR" w:hAnsi="ISOCPEUR"/>
        </w:rPr>
      </w:pPr>
      <w:r>
        <w:rPr>
          <w:rFonts w:ascii="ISOCPEUR" w:hAnsi="ISOCPEUR"/>
          <w:b/>
          <w:bCs/>
        </w:rPr>
        <w:t xml:space="preserve">INWESTOR: </w:t>
      </w:r>
      <w:bookmarkEnd w:id="3"/>
      <w:r>
        <w:rPr>
          <w:rFonts w:ascii="ISOCPEUR" w:hAnsi="ISOCPEUR"/>
          <w:b/>
          <w:bCs/>
        </w:rPr>
        <w:tab/>
      </w:r>
      <w:bookmarkStart w:id="4" w:name="_Hlk133496692"/>
      <w:r>
        <w:rPr>
          <w:rFonts w:ascii="ISOCPEUR" w:hAnsi="ISOCPEUR"/>
          <w:b/>
          <w:bCs/>
        </w:rPr>
        <w:tab/>
      </w:r>
      <w:bookmarkEnd w:id="4"/>
      <w:r>
        <w:rPr>
          <w:rFonts w:ascii="ISOCPEUR" w:hAnsi="ISOCPEUR"/>
        </w:rPr>
        <w:t>GMINA MEŁGIEW</w:t>
      </w:r>
    </w:p>
    <w:p>
      <w:pPr>
        <w:pStyle w:val="Normal"/>
        <w:spacing w:lineRule="auto" w:line="360" w:before="0" w:after="0"/>
        <w:rPr>
          <w:rFonts w:ascii="ISOCPEUR" w:hAnsi="ISOCPEUR"/>
        </w:rPr>
      </w:pPr>
      <w:r>
        <w:rPr>
          <w:rFonts w:ascii="ISOCPEUR" w:hAnsi="ISOCPEUR"/>
        </w:rPr>
        <w:tab/>
        <w:tab/>
        <w:tab/>
        <w:t>UL. PARTYZANCKA 2, 21-007 MEŁGIEW</w:t>
        <w:tab/>
      </w:r>
    </w:p>
    <w:p>
      <w:pPr>
        <w:pStyle w:val="Normal"/>
        <w:spacing w:lineRule="auto" w:line="360" w:before="0" w:after="0"/>
        <w:rPr>
          <w:rFonts w:ascii="ISOCPEUR" w:hAnsi="ISOCPEUR"/>
        </w:rPr>
      </w:pPr>
      <w:r>
        <w:rPr>
          <w:rFonts w:ascii="ISOCPEUR" w:hAnsi="ISOCPEUR"/>
          <w:b/>
          <w:bCs/>
        </w:rPr>
        <w:t xml:space="preserve">KAT. OBIEKTU:          </w:t>
      </w:r>
      <w:r>
        <w:rPr>
          <w:rFonts w:ascii="ISOCPEUR" w:hAnsi="ISOCPEUR"/>
        </w:rPr>
        <w:t>XXX</w:t>
      </w:r>
    </w:p>
    <w:p>
      <w:pPr>
        <w:pStyle w:val="Normal"/>
        <w:spacing w:lineRule="auto" w:line="360" w:before="120" w:after="0"/>
        <w:ind w:left="2124" w:right="288" w:hanging="2124"/>
        <w:jc w:val="left"/>
        <w:rPr>
          <w:rFonts w:ascii="ISOCPEUR" w:hAnsi="ISOCPEUR"/>
        </w:rPr>
      </w:pPr>
      <w:r>
        <w:rPr>
          <w:rFonts w:ascii="ISOCPEUR" w:hAnsi="ISOCPEUR"/>
          <w:b/>
          <w:bCs/>
        </w:rPr>
        <w:t>RODZAJ OBIEKTU :</w:t>
      </w:r>
      <w:r>
        <w:rPr>
          <w:rFonts w:ascii="ISOCPEUR" w:hAnsi="ISOCPEUR"/>
        </w:rPr>
        <w:t xml:space="preserve">      STACJE UZDATNIANIA WODY</w:t>
      </w:r>
    </w:p>
    <w:p>
      <w:pPr>
        <w:pStyle w:val="Nagwek2"/>
        <w:pBdr>
          <w:bottom w:val="single" w:sz="4" w:space="0" w:color="000000"/>
        </w:pBdr>
        <w:spacing w:lineRule="auto" w:line="360" w:before="240" w:after="240"/>
        <w:ind w:left="578" w:hanging="578"/>
        <w:rPr>
          <w:rFonts w:ascii="ISOCPEUR" w:hAnsi="ISOCPEUR"/>
        </w:rPr>
      </w:pPr>
      <w:bookmarkStart w:id="5" w:name="__RefHeading___Toc6598_1471982776"/>
      <w:bookmarkStart w:id="6" w:name="_Toc185095264"/>
      <w:bookmarkStart w:id="7" w:name="_Toc79231787"/>
      <w:bookmarkStart w:id="8" w:name="_Toc90976237"/>
      <w:bookmarkEnd w:id="5"/>
      <w:r>
        <w:rPr>
          <w:rFonts w:ascii="ISOCPEUR" w:hAnsi="ISOCPEUR"/>
        </w:rPr>
        <w:t xml:space="preserve">Przedmiot </w:t>
      </w:r>
      <w:bookmarkEnd w:id="7"/>
      <w:bookmarkEnd w:id="8"/>
      <w:r>
        <w:rPr>
          <w:rFonts w:ascii="ISOCPEUR" w:hAnsi="ISOCPEUR"/>
        </w:rPr>
        <w:t>i cel opracowania</w:t>
      </w:r>
      <w:bookmarkEnd w:id="6"/>
      <w:r>
        <w:rPr>
          <w:rFonts w:ascii="ISOCPEUR" w:hAnsi="ISOCPEUR"/>
        </w:rPr>
        <w:t xml:space="preserve"> </w:t>
      </w:r>
    </w:p>
    <w:p>
      <w:pPr>
        <w:pStyle w:val="Normal"/>
        <w:spacing w:lineRule="auto" w:line="360" w:before="0" w:after="0"/>
        <w:rPr>
          <w:rFonts w:ascii="ISOCPEUR" w:hAnsi="ISOCPEUR"/>
        </w:rPr>
      </w:pPr>
      <w:bookmarkStart w:id="9" w:name="_Hlk104799589"/>
      <w:bookmarkStart w:id="10" w:name="_Toc79231788"/>
      <w:bookmarkStart w:id="11" w:name="_Toc90976238"/>
      <w:bookmarkEnd w:id="9"/>
      <w:bookmarkEnd w:id="10"/>
      <w:bookmarkEnd w:id="11"/>
      <w:r>
        <w:rPr>
          <w:rFonts w:ascii="ISOCPEUR" w:hAnsi="ISOCPEUR"/>
        </w:rPr>
        <w:t xml:space="preserve">Przedmiotem opracowania jest wykonanie remontu układu technologicznego urządzeń i instalacji elektrycznej wewnątrz budynku wraz z montażem agregatu prądotwórczego </w:t>
      </w:r>
      <w:r>
        <w:rPr>
          <w:rFonts w:eastAsia="" w:cs="" w:ascii="ISOCPEUR" w:hAnsi="ISOCPEUR" w:cstheme="minorBidi" w:eastAsiaTheme="minorEastAsia"/>
          <w:color w:val="auto"/>
          <w:kern w:val="0"/>
          <w:sz w:val="22"/>
          <w:szCs w:val="22"/>
          <w:lang w:val="pl-PL" w:eastAsia="en-US" w:bidi="ar-SA"/>
        </w:rPr>
        <w:t>w</w:t>
      </w:r>
      <w:r>
        <w:rPr>
          <w:rFonts w:ascii="ISOCPEUR" w:hAnsi="ISOCPEUR"/>
        </w:rPr>
        <w:t>ewnątrz obiektu.</w:t>
      </w:r>
    </w:p>
    <w:p>
      <w:pPr>
        <w:pStyle w:val="Normal"/>
        <w:spacing w:lineRule="auto" w:line="360" w:before="0" w:after="0"/>
        <w:rPr>
          <w:rFonts w:ascii="ISOCPEUR" w:hAnsi="ISOCPEUR"/>
        </w:rPr>
      </w:pPr>
      <w:r>
        <w:rPr>
          <w:rFonts w:ascii="ISOCPEUR" w:hAnsi="ISOCPEUR"/>
        </w:rPr>
      </w:r>
    </w:p>
    <w:p>
      <w:pPr>
        <w:pStyle w:val="Nagwek2"/>
        <w:spacing w:lineRule="auto" w:line="360" w:before="120" w:after="240"/>
        <w:ind w:left="578" w:hanging="578"/>
        <w:rPr>
          <w:rFonts w:ascii="ISOCPEUR" w:hAnsi="ISOCPEUR"/>
        </w:rPr>
      </w:pPr>
      <w:bookmarkStart w:id="12" w:name="__RefHeading___Toc6600_1471982776"/>
      <w:bookmarkStart w:id="13" w:name="_Toc185095265"/>
      <w:bookmarkEnd w:id="12"/>
      <w:r>
        <w:rPr>
          <w:rFonts w:ascii="ISOCPEUR" w:hAnsi="ISOCPEUR"/>
        </w:rPr>
        <w:t>Uwagi wstępne</w:t>
      </w:r>
      <w:bookmarkEnd w:id="13"/>
    </w:p>
    <w:p>
      <w:pPr>
        <w:pStyle w:val="Normal"/>
        <w:spacing w:lineRule="auto" w:line="360"/>
        <w:rPr>
          <w:rFonts w:ascii="ISOCPEUR" w:hAnsi="ISOCPEUR"/>
        </w:rPr>
      </w:pPr>
      <w:r>
        <w:rPr>
          <w:rFonts w:ascii="ISOCPEUR" w:hAnsi="ISOCPEUR"/>
        </w:rPr>
        <w:t>Zgodnie z art. 28 ustawy z dnia 7 lipca 1994 r. – Prawo budowlane, roboty budowlane można rozpocząć jedynie na podstawie decyzji o pozwoleniu na budowę. Wyjątki od powyższej zasady stanowią art. 29-31 ustawy. Przepisy te zawierają konkretny zamknięty katalog budów i robót budowlanych, których wykonanie nie musi być poprzedzane uzyskaniem pozwolenia na budowę. Część z nich wymaga zgłoszenia właściwemu organowi, pozostałe zwolnione są z obu tych obowiązków.</w:t>
      </w:r>
    </w:p>
    <w:p>
      <w:pPr>
        <w:pStyle w:val="Normal"/>
        <w:spacing w:lineRule="auto" w:line="360"/>
        <w:rPr>
          <w:rFonts w:ascii="ISOCPEUR" w:hAnsi="ISOCPEUR"/>
        </w:rPr>
      </w:pPr>
      <w:r>
        <w:rPr>
          <w:rFonts w:ascii="ISOCPEUR" w:hAnsi="ISOCPEUR"/>
        </w:rPr>
      </w:r>
    </w:p>
    <w:p>
      <w:pPr>
        <w:pStyle w:val="Nagwek2"/>
        <w:spacing w:lineRule="auto" w:line="360" w:before="120" w:after="120"/>
        <w:ind w:left="578" w:hanging="578"/>
        <w:rPr>
          <w:rFonts w:ascii="ISOCPEUR" w:hAnsi="ISOCPEUR"/>
        </w:rPr>
      </w:pPr>
      <w:bookmarkStart w:id="14" w:name="__RefHeading___Toc6602_1471982776"/>
      <w:bookmarkStart w:id="15" w:name="_Toc185095266"/>
      <w:bookmarkStart w:id="16" w:name="_Hlk1047995891"/>
      <w:bookmarkEnd w:id="14"/>
      <w:bookmarkEnd w:id="16"/>
      <w:r>
        <w:rPr>
          <w:rFonts w:ascii="ISOCPEUR" w:hAnsi="ISOCPEUR"/>
        </w:rPr>
        <w:t>Podstawa opracowania</w:t>
      </w:r>
      <w:bookmarkEnd w:id="15"/>
    </w:p>
    <w:p>
      <w:pPr>
        <w:pStyle w:val="Nagwek3"/>
        <w:spacing w:lineRule="auto" w:line="360"/>
        <w:rPr>
          <w:rFonts w:ascii="ISOCPEUR" w:hAnsi="ISOCPEUR"/>
        </w:rPr>
      </w:pPr>
      <w:bookmarkStart w:id="17" w:name="__RefHeading___Toc6604_1471982776"/>
      <w:bookmarkStart w:id="18" w:name="_Toc185095267"/>
      <w:bookmarkEnd w:id="17"/>
      <w:r>
        <w:rPr>
          <w:rFonts w:ascii="ISOCPEUR" w:hAnsi="ISOCPEUR"/>
        </w:rPr>
        <w:t>Materiały podstawowe</w:t>
      </w:r>
      <w:bookmarkEnd w:id="18"/>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Zlecenie Inwestora</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Inwentaryzacja </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Ustalenia i konsultacje z Inwestorem i Użytkownikami</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Wizja lokalna </w:t>
      </w:r>
    </w:p>
    <w:p>
      <w:pPr>
        <w:pStyle w:val="Nagwek3"/>
        <w:tabs>
          <w:tab w:val="clear" w:pos="708"/>
          <w:tab w:val="left" w:pos="1418" w:leader="none"/>
        </w:tabs>
        <w:spacing w:lineRule="auto" w:line="360" w:before="120" w:after="120"/>
        <w:rPr>
          <w:rFonts w:ascii="ISOCPEUR" w:hAnsi="ISOCPEUR"/>
        </w:rPr>
      </w:pPr>
      <w:bookmarkStart w:id="19" w:name="__RefHeading___Toc6606_1471982776"/>
      <w:bookmarkStart w:id="20" w:name="_Toc185095268"/>
      <w:bookmarkEnd w:id="19"/>
      <w:r>
        <w:rPr>
          <w:rFonts w:ascii="ISOCPEUR" w:hAnsi="ISOCPEUR"/>
        </w:rPr>
        <w:t>Akty prawne</w:t>
      </w:r>
      <w:bookmarkEnd w:id="20"/>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Ustawa z dnia 07 lipca 1994 r. - Prawo Budowlane (Dz.U. 2021 r. poz. 2351 z późniejszymi zmianami)</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Rozporządzenie Ministra Infrastruktury z dnia 12 kwietnia 2002 r. w sprawie warunków </w:t>
        <w:br/>
        <w:t>technicznych, jakim powinny odpowiadać budynki i ich usytuowanie (t.j. Dz. U. 2022 r. poz. 1225 z późniejszymi zmianami)</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Rozporządzenie Ministra Transportu, Budownictwa i Gospodarki Morskiej z dnia 25 kwietnia 2012 r. w sprawie szczegółowego zakresu i formy projektu budowlanego </w:t>
        <w:br/>
        <w:t>(Dz. U. 2020 r. poz. 1609)</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Rozporządzenie Ministra Infrastruktury z dnia 6 lutego 2003 r. w sprawie bezpieczeństwa</w:t>
        <w:br/>
        <w:t>i higieny pracy podczas wykonywania robót budowlanych (Dz. U. z 2003 r. Nr 47, poz. 401)</w:t>
      </w:r>
    </w:p>
    <w:p>
      <w:pPr>
        <w:pStyle w:val="Nagwek1"/>
        <w:spacing w:lineRule="auto" w:line="360"/>
        <w:rPr>
          <w:rFonts w:ascii="ISOCPEUR" w:hAnsi="ISOCPEUR"/>
        </w:rPr>
      </w:pPr>
      <w:bookmarkStart w:id="21" w:name="__RefHeading___Toc6608_1471982776"/>
      <w:bookmarkStart w:id="22" w:name="_Toc185095269"/>
      <w:bookmarkStart w:id="23" w:name="_Toc792317881"/>
      <w:bookmarkStart w:id="24" w:name="_Toc909762381"/>
      <w:bookmarkEnd w:id="21"/>
      <w:bookmarkEnd w:id="23"/>
      <w:bookmarkEnd w:id="24"/>
      <w:r>
        <w:rPr>
          <w:rFonts w:ascii="ISOCPEUR" w:hAnsi="ISOCPEUR"/>
        </w:rPr>
        <w:t>OPIS STANU ISTNIEJĄCEGO</w:t>
      </w:r>
      <w:bookmarkEnd w:id="22"/>
    </w:p>
    <w:p>
      <w:pPr>
        <w:pStyle w:val="Nagwek2"/>
        <w:spacing w:lineRule="auto" w:line="360" w:before="120" w:after="240"/>
        <w:ind w:left="578" w:hanging="578"/>
        <w:rPr>
          <w:rFonts w:ascii="ISOCPEUR" w:hAnsi="ISOCPEUR"/>
        </w:rPr>
      </w:pPr>
      <w:bookmarkStart w:id="25" w:name="__RefHeading___Toc6610_1471982776"/>
      <w:bookmarkStart w:id="26" w:name="_Toc185095270"/>
      <w:bookmarkStart w:id="27" w:name="_Toc79231791"/>
      <w:bookmarkStart w:id="28" w:name="_Toc90976242"/>
      <w:bookmarkEnd w:id="25"/>
      <w:bookmarkEnd w:id="27"/>
      <w:bookmarkEnd w:id="28"/>
      <w:r>
        <w:rPr>
          <w:rFonts w:ascii="ISOCPEUR" w:hAnsi="ISOCPEUR"/>
        </w:rPr>
        <w:t>Opis stanu istniejącego</w:t>
      </w:r>
      <w:bookmarkEnd w:id="26"/>
    </w:p>
    <w:p>
      <w:pPr>
        <w:pStyle w:val="Normal"/>
        <w:spacing w:lineRule="auto" w:line="360" w:before="0" w:after="120"/>
        <w:rPr>
          <w:color w:val="auto"/>
        </w:rPr>
      </w:pPr>
      <w:r>
        <w:rPr>
          <w:rFonts w:ascii="ISOCPEUR" w:hAnsi="ISOCPEUR"/>
          <w:color w:val="auto"/>
        </w:rPr>
        <w:t xml:space="preserve">W obiekcie istnieją urządzenia wbudowane technologiczne, w tym </w:t>
      </w:r>
      <w:r>
        <w:rPr>
          <w:rFonts w:eastAsia="" w:cs="" w:ascii="ISOCPEUR" w:hAnsi="ISOCPEUR"/>
          <w:color w:val="auto"/>
          <w:kern w:val="0"/>
          <w:sz w:val="22"/>
          <w:szCs w:val="22"/>
          <w:lang w:val="pl-PL" w:eastAsia="en-US" w:bidi="ar-SA"/>
        </w:rPr>
        <w:t xml:space="preserve">1 hydrofor </w:t>
      </w:r>
      <w:r>
        <w:rPr>
          <w:rFonts w:ascii="ISOCPEUR" w:hAnsi="ISOCPEUR"/>
          <w:color w:val="auto"/>
        </w:rPr>
        <w:t xml:space="preserve"> o pojemności użytkowej V=</w:t>
      </w:r>
      <w:r>
        <w:rPr>
          <w:rFonts w:ascii="ISOCPEUR" w:hAnsi="ISOCPEUR"/>
          <w:color w:val="auto"/>
        </w:rPr>
        <w:t>1</w:t>
      </w:r>
      <w:r>
        <w:rPr>
          <w:rFonts w:ascii="ISOCPEUR" w:hAnsi="ISOCPEUR"/>
          <w:color w:val="auto"/>
        </w:rPr>
        <w:t>,</w:t>
      </w:r>
      <w:r>
        <w:rPr>
          <w:rFonts w:eastAsia="" w:cs="" w:ascii="ISOCPEUR" w:hAnsi="ISOCPEUR"/>
          <w:color w:val="auto"/>
          <w:kern w:val="0"/>
          <w:sz w:val="22"/>
          <w:szCs w:val="22"/>
          <w:lang w:val="pl-PL" w:eastAsia="en-US" w:bidi="ar-SA"/>
        </w:rPr>
        <w:t>5</w:t>
      </w:r>
      <w:r>
        <w:rPr>
          <w:rFonts w:ascii="ISOCPEUR" w:hAnsi="ISOCPEUR"/>
          <w:color w:val="auto"/>
        </w:rPr>
        <w:t xml:space="preserve">m3. W obiekcie wbudowany jest również dozownik podchlorynu sodu. Stan techniczny instalacji technologicznej w obiekcie oceniono na </w:t>
      </w:r>
      <w:r>
        <w:rPr>
          <w:rFonts w:eastAsia="" w:cs="" w:ascii="ISOCPEUR" w:hAnsi="ISOCPEUR"/>
          <w:color w:val="auto"/>
          <w:kern w:val="0"/>
          <w:sz w:val="22"/>
          <w:szCs w:val="22"/>
          <w:lang w:val="pl-PL" w:eastAsia="en-US" w:bidi="ar-SA"/>
        </w:rPr>
        <w:t>dopuszczalny.</w:t>
      </w:r>
    </w:p>
    <w:p>
      <w:pPr>
        <w:pStyle w:val="Nagwek2"/>
        <w:spacing w:lineRule="auto" w:line="360"/>
        <w:rPr>
          <w:color w:val="auto"/>
        </w:rPr>
      </w:pPr>
      <w:bookmarkStart w:id="29" w:name="__RefHeading___Toc6612_1471982776"/>
      <w:bookmarkStart w:id="30" w:name="_Toc100834191"/>
      <w:bookmarkStart w:id="31" w:name="_Toc185095271"/>
      <w:bookmarkStart w:id="32" w:name="_Hlk100059797"/>
      <w:bookmarkStart w:id="33" w:name="_Toc79231792"/>
      <w:bookmarkStart w:id="34" w:name="_Toc90976245"/>
      <w:bookmarkStart w:id="35" w:name="_Hlk1002995861"/>
      <w:bookmarkStart w:id="36" w:name="_Toc792317911"/>
      <w:bookmarkStart w:id="37" w:name="_Toc909762421"/>
      <w:bookmarkEnd w:id="29"/>
      <w:bookmarkEnd w:id="32"/>
      <w:bookmarkEnd w:id="33"/>
      <w:bookmarkEnd w:id="34"/>
      <w:bookmarkEnd w:id="35"/>
      <w:bookmarkEnd w:id="36"/>
      <w:bookmarkEnd w:id="37"/>
      <w:r>
        <w:rPr>
          <w:rFonts w:ascii="ISOCPEUR" w:hAnsi="ISOCPEUR"/>
          <w:color w:val="auto"/>
        </w:rPr>
        <w:t>D</w:t>
      </w:r>
      <w:bookmarkEnd w:id="30"/>
      <w:bookmarkEnd w:id="31"/>
      <w:r>
        <w:rPr>
          <w:rFonts w:ascii="ISOCPEUR" w:hAnsi="ISOCPEUR"/>
          <w:color w:val="auto"/>
        </w:rPr>
        <w:t xml:space="preserve">ANE OGÓLNE </w:t>
      </w:r>
    </w:p>
    <w:p>
      <w:pPr>
        <w:pStyle w:val="Normal"/>
        <w:numPr>
          <w:ilvl w:val="0"/>
          <w:numId w:val="0"/>
        </w:numPr>
        <w:tabs>
          <w:tab w:val="clear" w:pos="708"/>
          <w:tab w:val="left" w:pos="284" w:leader="none"/>
        </w:tabs>
        <w:spacing w:lineRule="auto" w:line="360"/>
        <w:ind w:left="0" w:hanging="0"/>
        <w:rPr>
          <w:rFonts w:ascii="ISOCPEUR" w:hAnsi="ISOCPEUR"/>
        </w:rPr>
      </w:pPr>
      <w:r>
        <w:rPr>
          <w:rFonts w:ascii="ISOCPEUR" w:hAnsi="ISOCPEUR"/>
        </w:rPr>
        <w:t xml:space="preserve">Wodociąg grupowy </w:t>
      </w:r>
      <w:r>
        <w:rPr>
          <w:rFonts w:ascii="ISOCPEUR" w:hAnsi="ISOCPEUR"/>
        </w:rPr>
        <w:t xml:space="preserve">Nowy </w:t>
      </w:r>
      <w:r>
        <w:rPr>
          <w:rFonts w:eastAsia="" w:cs="" w:ascii="ISOCPEUR" w:hAnsi="ISOCPEUR" w:cstheme="minorBidi" w:eastAsiaTheme="minorEastAsia"/>
          <w:color w:val="auto"/>
          <w:kern w:val="0"/>
          <w:sz w:val="22"/>
          <w:szCs w:val="22"/>
          <w:lang w:val="pl-PL" w:eastAsia="en-US" w:bidi="ar-SA"/>
        </w:rPr>
        <w:t>Krępiec</w:t>
      </w:r>
      <w:r>
        <w:rPr>
          <w:rFonts w:ascii="ISOCPEUR" w:hAnsi="ISOCPEUR"/>
        </w:rPr>
        <w:t xml:space="preserve"> zaopatruje w wodę na potrzeby socjalno-bytowe i gospodarcz</w:t>
      </w:r>
      <w:r>
        <w:rPr>
          <w:rFonts w:eastAsia="" w:cs="" w:ascii="ISOCPEUR" w:hAnsi="ISOCPEUR" w:cstheme="minorBidi" w:eastAsiaTheme="minorEastAsia"/>
          <w:color w:val="auto"/>
          <w:kern w:val="0"/>
          <w:sz w:val="22"/>
          <w:szCs w:val="22"/>
          <w:lang w:val="pl-PL" w:eastAsia="en-US" w:bidi="ar-SA"/>
        </w:rPr>
        <w:t>e</w:t>
      </w:r>
      <w:r>
        <w:rPr>
          <w:rFonts w:ascii="ISOCPEUR" w:hAnsi="ISOCPEUR"/>
        </w:rPr>
        <w:t xml:space="preserve"> mieszkańców z terenu gminy </w:t>
      </w:r>
      <w:r>
        <w:rPr>
          <w:rFonts w:eastAsia="" w:cs="" w:ascii="ISOCPEUR" w:hAnsi="ISOCPEUR" w:cstheme="minorBidi" w:eastAsiaTheme="minorEastAsia"/>
          <w:color w:val="auto"/>
          <w:kern w:val="0"/>
          <w:sz w:val="22"/>
          <w:szCs w:val="22"/>
          <w:lang w:val="pl-PL" w:eastAsia="en-US" w:bidi="ar-SA"/>
        </w:rPr>
        <w:t>Mełgiew</w:t>
      </w:r>
      <w:r>
        <w:rPr>
          <w:rFonts w:ascii="ISOCPEUR" w:hAnsi="ISOCPEUR"/>
        </w:rPr>
        <w:t xml:space="preserve"> w m. </w:t>
      </w:r>
      <w:r>
        <w:rPr>
          <w:rFonts w:eastAsia="" w:cs="" w:ascii="ISOCPEUR" w:hAnsi="ISOCPEUR" w:cstheme="minorBidi" w:eastAsiaTheme="minorEastAsia"/>
          <w:color w:val="auto"/>
          <w:kern w:val="0"/>
          <w:sz w:val="22"/>
          <w:szCs w:val="22"/>
          <w:lang w:val="pl-PL" w:eastAsia="en-US" w:bidi="ar-SA"/>
        </w:rPr>
        <w:t>Nowy Krępiec, Krępiec i inne</w:t>
      </w:r>
      <w:r>
        <w:rPr>
          <w:rFonts w:eastAsia="" w:cs="" w:ascii="ISOCPEUR" w:hAnsi="ISOCPEUR" w:cstheme="minorBidi" w:eastAsiaTheme="minorEastAsia"/>
          <w:color w:val="auto"/>
          <w:kern w:val="0"/>
          <w:sz w:val="22"/>
          <w:szCs w:val="22"/>
          <w:lang w:val="pl-PL" w:eastAsia="en-US" w:bidi="ar-SA"/>
        </w:rPr>
        <w:t xml:space="preserve">. </w:t>
      </w:r>
    </w:p>
    <w:p>
      <w:pPr>
        <w:pStyle w:val="Normal"/>
        <w:numPr>
          <w:ilvl w:val="0"/>
          <w:numId w:val="0"/>
        </w:numPr>
        <w:tabs>
          <w:tab w:val="clear" w:pos="708"/>
          <w:tab w:val="left" w:pos="284" w:leader="none"/>
        </w:tabs>
        <w:spacing w:lineRule="auto" w:line="360"/>
        <w:ind w:left="0" w:hanging="0"/>
        <w:rPr>
          <w:rFonts w:ascii="ISOCPEUR" w:hAnsi="ISOCPEUR"/>
        </w:rPr>
      </w:pPr>
      <w:r>
        <w:rPr>
          <w:rFonts w:ascii="ISOCPEUR" w:hAnsi="ISOCPEUR"/>
        </w:rPr>
        <w:t xml:space="preserve">Istniejące studnie zlokalizowane są na działce ewidencyjnej nr </w:t>
      </w:r>
      <w:r>
        <w:rPr>
          <w:rFonts w:eastAsia="" w:cs="" w:ascii="ISOCPEUR" w:hAnsi="ISOCPEUR" w:cstheme="minorBidi" w:eastAsiaTheme="minorEastAsia"/>
          <w:color w:val="auto"/>
          <w:kern w:val="0"/>
          <w:sz w:val="22"/>
          <w:szCs w:val="22"/>
          <w:lang w:val="pl-PL" w:eastAsia="en-US" w:bidi="ar-SA"/>
        </w:rPr>
        <w:t>521/4</w:t>
      </w:r>
      <w:r>
        <w:rPr>
          <w:rFonts w:ascii="ISOCPEUR" w:hAnsi="ISOCPEUR"/>
        </w:rPr>
        <w:t xml:space="preserve"> w miejscowości </w:t>
      </w:r>
      <w:r>
        <w:rPr>
          <w:rFonts w:eastAsia="" w:cs="" w:ascii="ISOCPEUR" w:hAnsi="ISOCPEUR" w:cstheme="minorBidi" w:eastAsiaTheme="minorEastAsia"/>
          <w:color w:val="auto"/>
          <w:kern w:val="0"/>
          <w:sz w:val="22"/>
          <w:szCs w:val="22"/>
          <w:lang w:val="pl-PL" w:eastAsia="en-US" w:bidi="ar-SA"/>
        </w:rPr>
        <w:t>Nowy Krępiec</w:t>
      </w:r>
      <w:r>
        <w:rPr>
          <w:rFonts w:ascii="ISOCPEUR" w:hAnsi="ISOCPEUR"/>
        </w:rPr>
        <w:t>. Przystosowane są do pracy w niejednoczesności, tj. jeśli jedna studnia jest eksploatowana to druga jest rezerwowa. Opracowanie niniejsze nie obejmuje swoim zakresem żadnych prac związanych z modernizacją ujęcia wody, tj. studnią, zasileniem pompy głębinowej oraz rurociągami sieciowymi.</w:t>
      </w:r>
    </w:p>
    <w:p>
      <w:pPr>
        <w:pStyle w:val="Nagwek2"/>
        <w:spacing w:lineRule="auto" w:line="360"/>
        <w:rPr>
          <w:rFonts w:ascii="ISOCPEUR" w:hAnsi="ISOCPEUR"/>
        </w:rPr>
      </w:pPr>
      <w:bookmarkStart w:id="38" w:name="__RefHeading___Toc6614_1471982776"/>
      <w:bookmarkStart w:id="39" w:name="_Toc185095272"/>
      <w:bookmarkStart w:id="40" w:name="_Hlk1000597971"/>
      <w:bookmarkStart w:id="41" w:name="_Toc792317921"/>
      <w:bookmarkStart w:id="42" w:name="_Toc909762451"/>
      <w:bookmarkEnd w:id="38"/>
      <w:bookmarkEnd w:id="40"/>
      <w:bookmarkEnd w:id="41"/>
      <w:bookmarkEnd w:id="42"/>
      <w:r>
        <w:rPr>
          <w:rFonts w:ascii="ISOCPEUR" w:hAnsi="ISOCPEUR"/>
        </w:rPr>
        <w:t>Istniejące zagospodarowanie terenu</w:t>
      </w:r>
      <w:bookmarkEnd w:id="39"/>
    </w:p>
    <w:p>
      <w:pPr>
        <w:pStyle w:val="Normal"/>
        <w:spacing w:lineRule="auto" w:line="360"/>
        <w:rPr>
          <w:color w:val="auto"/>
        </w:rPr>
      </w:pPr>
      <w:r>
        <w:rPr>
          <w:rFonts w:ascii="ISOCPEUR" w:hAnsi="ISOCPEUR"/>
          <w:color w:val="auto"/>
        </w:rPr>
        <w:t xml:space="preserve">Teren będący przedmiotem opracowania stanowi działka o numerze ewid. </w:t>
      </w:r>
      <w:r>
        <w:rPr>
          <w:rFonts w:eastAsia="" w:cs="" w:ascii="ISOCPEUR" w:hAnsi="ISOCPEUR"/>
          <w:color w:val="auto"/>
          <w:kern w:val="0"/>
          <w:sz w:val="22"/>
          <w:szCs w:val="22"/>
          <w:lang w:val="pl-PL" w:eastAsia="en-US" w:bidi="ar-SA"/>
        </w:rPr>
        <w:t>521/4</w:t>
      </w:r>
      <w:r>
        <w:rPr>
          <w:rFonts w:ascii="ISOCPEUR" w:hAnsi="ISOCPEUR"/>
          <w:color w:val="auto"/>
        </w:rPr>
        <w:t xml:space="preserve"> zlokalizowana </w:t>
        <w:br/>
        <w:t xml:space="preserve">w m. </w:t>
      </w:r>
      <w:r>
        <w:rPr>
          <w:rFonts w:eastAsia="" w:cs="" w:ascii="ISOCPEUR" w:hAnsi="ISOCPEUR"/>
          <w:color w:val="auto"/>
          <w:kern w:val="0"/>
          <w:sz w:val="22"/>
          <w:szCs w:val="22"/>
          <w:lang w:val="pl-PL" w:eastAsia="en-US" w:bidi="ar-SA"/>
        </w:rPr>
        <w:t>Nowy Krępiec</w:t>
      </w:r>
      <w:r>
        <w:rPr>
          <w:rFonts w:ascii="ISOCPEUR" w:hAnsi="ISOCPEUR"/>
          <w:color w:val="auto"/>
        </w:rPr>
        <w:t xml:space="preserve">, gmina Mełgiew. Na działce usytuowany jest przedmiotowy budynek techniczny ujęcia wody. Dojazd oraz teren na działce jest </w:t>
      </w:r>
      <w:r>
        <w:rPr>
          <w:rFonts w:ascii="ISOCPEUR" w:hAnsi="ISOCPEUR"/>
          <w:color w:val="auto"/>
        </w:rPr>
        <w:t xml:space="preserve">dogodny, </w:t>
      </w:r>
      <w:r>
        <w:rPr>
          <w:rFonts w:ascii="ISOCPEUR" w:hAnsi="ISOCPEUR"/>
          <w:color w:val="auto"/>
        </w:rPr>
        <w:t xml:space="preserve">utwardzony, a okoliczny teren </w:t>
      </w:r>
      <w:r>
        <w:rPr>
          <w:rFonts w:eastAsia="" w:cs="" w:ascii="ISOCPEUR" w:hAnsi="ISOCPEUR"/>
          <w:color w:val="auto"/>
          <w:kern w:val="0"/>
          <w:sz w:val="22"/>
          <w:szCs w:val="22"/>
          <w:lang w:val="pl-PL" w:eastAsia="en-US" w:bidi="ar-SA"/>
        </w:rPr>
        <w:t xml:space="preserve">znajduje się w </w:t>
      </w:r>
      <w:r>
        <w:rPr>
          <w:rFonts w:eastAsia="" w:cs="" w:ascii="ISOCPEUR" w:hAnsi="ISOCPEUR"/>
          <w:color w:val="auto"/>
          <w:kern w:val="0"/>
          <w:sz w:val="22"/>
          <w:szCs w:val="22"/>
          <w:lang w:val="pl-PL" w:eastAsia="en-US" w:bidi="ar-SA"/>
        </w:rPr>
        <w:t>p</w:t>
      </w:r>
      <w:r>
        <w:rPr>
          <w:rFonts w:eastAsia="" w:cs="" w:ascii="ISOCPEUR" w:hAnsi="ISOCPEUR"/>
          <w:color w:val="auto"/>
          <w:kern w:val="0"/>
          <w:sz w:val="22"/>
          <w:szCs w:val="22"/>
          <w:lang w:val="pl-PL" w:eastAsia="en-US" w:bidi="ar-SA"/>
        </w:rPr>
        <w:t>arku objętym ochroną konserwatorską.</w:t>
      </w:r>
    </w:p>
    <w:p>
      <w:pPr>
        <w:pStyle w:val="Normal"/>
        <w:spacing w:lineRule="auto" w:line="360"/>
        <w:rPr>
          <w:color w:val="auto"/>
        </w:rPr>
      </w:pPr>
      <w:r>
        <w:rPr>
          <w:rFonts w:ascii="ISOCPEUR" w:hAnsi="ISOCPEUR"/>
          <w:color w:val="auto"/>
        </w:rPr>
        <w:t xml:space="preserve">Istniejąca infrastruktura techniczna na działce: elektroenergetyczna linia niskiego napięcia, magistrale wodociągowe, instalacja zewnętrzna kanalizacji sanitarnej wraz ze zbiornikiem szczelnym bezodpływowym </w:t>
      </w:r>
      <w:r>
        <w:rPr>
          <w:rFonts w:ascii="ISOCPEUR" w:hAnsi="ISOCPEUR"/>
          <w:color w:val="auto"/>
        </w:rPr>
        <w:t>oraz przyłączem kanalizacji sanitarnej z odprowadzeniem ścieków do sieci gminnej.</w:t>
      </w:r>
    </w:p>
    <w:p>
      <w:pPr>
        <w:pStyle w:val="Nagwek1"/>
        <w:shd w:val="clear" w:color="auto" w:fill="auto"/>
        <w:spacing w:lineRule="auto" w:line="360"/>
        <w:rPr>
          <w:rFonts w:ascii="ISOCPEUR" w:hAnsi="ISOCPEUR"/>
        </w:rPr>
      </w:pPr>
      <w:bookmarkStart w:id="43" w:name="__RefHeading___Toc6616_1471982776"/>
      <w:bookmarkStart w:id="44" w:name="_Toc185095273"/>
      <w:bookmarkEnd w:id="43"/>
      <w:r>
        <w:rPr>
          <w:rFonts w:ascii="ISOCPEUR" w:hAnsi="ISOCPEUR"/>
        </w:rPr>
        <w:t>OPIS STANU PROJEKTOWANEGO</w:t>
      </w:r>
      <w:bookmarkEnd w:id="44"/>
    </w:p>
    <w:p>
      <w:pPr>
        <w:pStyle w:val="Nagwek2"/>
        <w:spacing w:lineRule="auto" w:line="360"/>
        <w:rPr>
          <w:rFonts w:ascii="ISOCPEUR" w:hAnsi="ISOCPEUR"/>
        </w:rPr>
      </w:pPr>
      <w:bookmarkStart w:id="45" w:name="__RefHeading___Toc6618_1471982776"/>
      <w:bookmarkStart w:id="46" w:name="_Toc90976257"/>
      <w:bookmarkStart w:id="47" w:name="_Toc185095274"/>
      <w:bookmarkEnd w:id="45"/>
      <w:r>
        <w:rPr>
          <w:rFonts w:ascii="ISOCPEUR" w:hAnsi="ISOCPEUR"/>
        </w:rPr>
        <w:t>ROBOTY ROZBIÓRKOWE I PRACE DEMONTAŻOWE</w:t>
      </w:r>
      <w:bookmarkEnd w:id="46"/>
      <w:bookmarkEnd w:id="47"/>
    </w:p>
    <w:p>
      <w:pPr>
        <w:pStyle w:val="Normal"/>
        <w:spacing w:lineRule="auto" w:line="360"/>
        <w:rPr>
          <w:rFonts w:ascii="ISOCPEUR" w:hAnsi="ISOCPEUR"/>
        </w:rPr>
      </w:pPr>
      <w:r>
        <w:rPr>
          <w:rFonts w:ascii="ISOCPEUR" w:hAnsi="ISOCPEUR"/>
        </w:rPr>
        <w:t>W ramach realizacji projektu przewiduje się rob</w:t>
      </w:r>
      <w:r>
        <w:rPr>
          <w:rFonts w:eastAsia="" w:cs="" w:ascii="ISOCPEUR" w:hAnsi="ISOCPEUR" w:cstheme="minorBidi" w:eastAsiaTheme="minorEastAsia"/>
          <w:color w:val="auto"/>
          <w:kern w:val="0"/>
          <w:sz w:val="22"/>
          <w:szCs w:val="22"/>
          <w:lang w:val="pl-PL" w:eastAsia="en-US" w:bidi="ar-SA"/>
        </w:rPr>
        <w:t>oty demontażowe, istniejących urządzeń technologicznych</w:t>
      </w:r>
      <w:r>
        <w:rPr>
          <w:rFonts w:ascii="ISOCPEUR" w:hAnsi="ISOCPEUR"/>
        </w:rPr>
        <w:t xml:space="preserve"> oraz prac budowlanych demontażowych towarzyszących </w:t>
      </w:r>
      <w:r>
        <w:rPr>
          <w:rFonts w:ascii="ISOCPEUR" w:hAnsi="ISOCPEUR"/>
        </w:rPr>
        <w:t>wewnątrz budynku.</w:t>
      </w:r>
      <w:bookmarkStart w:id="48" w:name="_Toc185095275"/>
      <w:bookmarkEnd w:id="48"/>
    </w:p>
    <w:p>
      <w:pPr>
        <w:pStyle w:val="Nagwek2"/>
        <w:spacing w:lineRule="auto" w:line="360"/>
        <w:rPr>
          <w:rFonts w:ascii="ISOCPEUR" w:hAnsi="ISOCPEUR" w:eastAsia="" w:cs="" w:cstheme="majorBidi" w:eastAsiaTheme="majorEastAsia"/>
          <w:b/>
          <w:b/>
          <w:bCs/>
          <w:smallCaps/>
          <w:color w:val="000000" w:themeColor="text1"/>
          <w:kern w:val="0"/>
          <w:sz w:val="22"/>
          <w:szCs w:val="22"/>
          <w:lang w:val="pl-PL" w:eastAsia="en-US" w:bidi="ar-SA"/>
        </w:rPr>
      </w:pPr>
      <w:bookmarkStart w:id="49" w:name="__RefHeading___Toc6626_1471982776"/>
      <w:bookmarkEnd w:id="49"/>
      <w:r>
        <w:rPr>
          <w:rFonts w:eastAsia="" w:cs="" w:ascii="ISOCPEUR" w:hAnsi="ISOCPEUR" w:cstheme="majorBidi" w:eastAsiaTheme="majorEastAsia"/>
          <w:b/>
          <w:bCs/>
          <w:smallCaps/>
          <w:color w:val="000000" w:themeColor="text1"/>
          <w:kern w:val="0"/>
          <w:sz w:val="22"/>
          <w:szCs w:val="22"/>
          <w:lang w:val="pl-PL" w:eastAsia="en-US" w:bidi="ar-SA"/>
        </w:rPr>
        <w:t>Rozwiązania Instalacji Sanitarnych</w:t>
      </w:r>
    </w:p>
    <w:p>
      <w:pPr>
        <w:pStyle w:val="Nagwek3"/>
        <w:spacing w:lineRule="auto" w:line="360"/>
        <w:rPr>
          <w:rFonts w:ascii="ISOCPEUR" w:hAnsi="ISOCPEUR"/>
        </w:rPr>
      </w:pPr>
      <w:bookmarkStart w:id="50" w:name="__RefHeading___Toc6630_14719827762"/>
      <w:bookmarkEnd w:id="50"/>
      <w:r>
        <w:rPr>
          <w:rFonts w:eastAsia="" w:cs="" w:ascii="ISOCPEUR" w:hAnsi="ISOCPEUR" w:cstheme="majorBidi" w:eastAsiaTheme="majorEastAsia"/>
          <w:b/>
          <w:bCs/>
          <w:smallCaps/>
          <w:color w:val="000000" w:themeColor="text1"/>
          <w:kern w:val="0"/>
          <w:sz w:val="22"/>
          <w:szCs w:val="22"/>
          <w:lang w:val="pl-PL" w:eastAsia="en-US" w:bidi="ar-SA"/>
        </w:rPr>
        <w:t>INSTALACJA GRZEWCZA BUDYNKU SUW</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Zgodnie z założeniami, przyjęto koncepcję ogrzewania elektrycznego. </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Przedmiotowy budynek ogrzewany będzie za pomocą </w:t>
      </w:r>
      <w:r>
        <w:rPr>
          <w:rFonts w:eastAsia="" w:cs="" w:ascii="ISOCPEUR" w:hAnsi="ISOCPEUR"/>
          <w:b w:val="false"/>
          <w:i w:val="false"/>
          <w:caps w:val="false"/>
          <w:smallCaps w:val="false"/>
          <w:color w:val="333333"/>
          <w:spacing w:val="0"/>
          <w:kern w:val="0"/>
          <w:sz w:val="22"/>
          <w:szCs w:val="22"/>
          <w:lang w:val="pl-PL" w:eastAsia="en-US" w:bidi="ar-SA"/>
        </w:rPr>
        <w:t>siedmiu</w:t>
      </w:r>
      <w:r>
        <w:rPr>
          <w:rFonts w:ascii="ISOCPEUR" w:hAnsi="ISOCPEUR"/>
          <w:b w:val="false"/>
          <w:i w:val="false"/>
          <w:caps w:val="false"/>
          <w:smallCaps w:val="false"/>
          <w:color w:val="333333"/>
          <w:spacing w:val="0"/>
          <w:sz w:val="22"/>
          <w:szCs w:val="22"/>
        </w:rPr>
        <w:t xml:space="preserve"> grzejnik</w:t>
      </w:r>
      <w:r>
        <w:rPr>
          <w:rFonts w:eastAsia="" w:cs="" w:ascii="ISOCPEUR" w:hAnsi="ISOCPEUR"/>
          <w:b w:val="false"/>
          <w:i w:val="false"/>
          <w:caps w:val="false"/>
          <w:smallCaps w:val="false"/>
          <w:color w:val="333333"/>
          <w:spacing w:val="0"/>
          <w:kern w:val="0"/>
          <w:sz w:val="22"/>
          <w:szCs w:val="22"/>
          <w:lang w:val="pl-PL" w:eastAsia="en-US" w:bidi="ar-SA"/>
        </w:rPr>
        <w:t>ów</w:t>
      </w:r>
      <w:r>
        <w:rPr>
          <w:rFonts w:ascii="ISOCPEUR" w:hAnsi="ISOCPEUR"/>
          <w:b w:val="false"/>
          <w:i w:val="false"/>
          <w:caps w:val="false"/>
          <w:smallCaps w:val="false"/>
          <w:color w:val="333333"/>
          <w:spacing w:val="0"/>
          <w:sz w:val="22"/>
          <w:szCs w:val="22"/>
        </w:rPr>
        <w:t xml:space="preserve"> elektryczn</w:t>
      </w:r>
      <w:r>
        <w:rPr>
          <w:rFonts w:eastAsia="" w:cs="" w:ascii="ISOCPEUR" w:hAnsi="ISOCPEUR"/>
          <w:b w:val="false"/>
          <w:i w:val="false"/>
          <w:caps w:val="false"/>
          <w:smallCaps w:val="false"/>
          <w:color w:val="333333"/>
          <w:spacing w:val="0"/>
          <w:kern w:val="0"/>
          <w:sz w:val="22"/>
          <w:szCs w:val="22"/>
          <w:lang w:val="pl-PL" w:eastAsia="en-US" w:bidi="ar-SA"/>
        </w:rPr>
        <w:t>ych</w:t>
      </w:r>
      <w:r>
        <w:rPr>
          <w:rFonts w:ascii="ISOCPEUR" w:hAnsi="ISOCPEUR"/>
          <w:b w:val="false"/>
          <w:i w:val="false"/>
          <w:caps w:val="false"/>
          <w:smallCaps w:val="false"/>
          <w:color w:val="333333"/>
          <w:spacing w:val="0"/>
          <w:sz w:val="22"/>
          <w:szCs w:val="22"/>
        </w:rPr>
        <w:t xml:space="preserve"> o moc</w:t>
      </w:r>
      <w:r>
        <w:rPr>
          <w:rFonts w:eastAsia="" w:cs="" w:ascii="ISOCPEUR" w:hAnsi="ISOCPEUR"/>
          <w:b w:val="false"/>
          <w:i w:val="false"/>
          <w:caps w:val="false"/>
          <w:smallCaps w:val="false"/>
          <w:color w:val="333333"/>
          <w:spacing w:val="0"/>
          <w:kern w:val="0"/>
          <w:sz w:val="22"/>
          <w:szCs w:val="22"/>
          <w:lang w:val="pl-PL" w:eastAsia="en-US" w:bidi="ar-SA"/>
        </w:rPr>
        <w:t>y</w:t>
      </w:r>
      <w:r>
        <w:rPr>
          <w:rFonts w:ascii="ISOCPEUR" w:hAnsi="ISOCPEUR"/>
          <w:b w:val="false"/>
          <w:i w:val="false"/>
          <w:caps w:val="false"/>
          <w:smallCaps w:val="false"/>
          <w:color w:val="333333"/>
          <w:spacing w:val="0"/>
          <w:sz w:val="22"/>
          <w:szCs w:val="22"/>
        </w:rPr>
        <w:t xml:space="preserve"> </w:t>
      </w:r>
      <w:r>
        <w:rPr>
          <w:rFonts w:eastAsia="" w:cs="" w:ascii="ISOCPEUR" w:hAnsi="ISOCPEUR"/>
          <w:b w:val="false"/>
          <w:i w:val="false"/>
          <w:caps w:val="false"/>
          <w:smallCaps w:val="false"/>
          <w:color w:val="333333"/>
          <w:spacing w:val="0"/>
          <w:kern w:val="0"/>
          <w:sz w:val="22"/>
          <w:szCs w:val="22"/>
          <w:lang w:val="pl-PL" w:eastAsia="en-US" w:bidi="ar-SA"/>
        </w:rPr>
        <w:t>20</w:t>
      </w:r>
      <w:r>
        <w:rPr>
          <w:rFonts w:ascii="ISOCPEUR" w:hAnsi="ISOCPEUR"/>
          <w:b w:val="false"/>
          <w:i w:val="false"/>
          <w:caps w:val="false"/>
          <w:smallCaps w:val="false"/>
          <w:color w:val="333333"/>
          <w:spacing w:val="0"/>
          <w:sz w:val="22"/>
          <w:szCs w:val="22"/>
        </w:rPr>
        <w:t xml:space="preserve">00W, 1500W i </w:t>
      </w:r>
      <w:r>
        <w:rPr>
          <w:rFonts w:eastAsia="" w:cs="" w:ascii="ISOCPEUR" w:hAnsi="ISOCPEUR"/>
          <w:b w:val="false"/>
          <w:i w:val="false"/>
          <w:caps w:val="false"/>
          <w:smallCaps w:val="false"/>
          <w:color w:val="333333"/>
          <w:spacing w:val="0"/>
          <w:kern w:val="0"/>
          <w:sz w:val="22"/>
          <w:szCs w:val="22"/>
          <w:lang w:val="pl-PL" w:eastAsia="en-US" w:bidi="ar-SA"/>
        </w:rPr>
        <w:t>5</w:t>
      </w:r>
      <w:r>
        <w:rPr>
          <w:rFonts w:ascii="ISOCPEUR" w:hAnsi="ISOCPEUR"/>
          <w:b w:val="false"/>
          <w:i w:val="false"/>
          <w:caps w:val="false"/>
          <w:smallCaps w:val="false"/>
          <w:color w:val="333333"/>
          <w:spacing w:val="0"/>
          <w:sz w:val="22"/>
          <w:szCs w:val="22"/>
        </w:rPr>
        <w:t>00W. Grzejniki montowane za pomocą mocowań typowych, zalecanych przez producenta. Grzejniki mocować zgodnie z instrukcją montażu producenta. Wysokość zaprojektowan</w:t>
      </w:r>
      <w:r>
        <w:rPr>
          <w:rFonts w:eastAsia="" w:cs="" w:ascii="ISOCPEUR" w:hAnsi="ISOCPEUR"/>
          <w:b w:val="false"/>
          <w:i w:val="false"/>
          <w:caps w:val="false"/>
          <w:smallCaps w:val="false"/>
          <w:color w:val="333333"/>
          <w:spacing w:val="0"/>
          <w:kern w:val="0"/>
          <w:sz w:val="22"/>
          <w:szCs w:val="22"/>
          <w:lang w:val="pl-PL" w:eastAsia="en-US" w:bidi="ar-SA"/>
        </w:rPr>
        <w:t>ego</w:t>
      </w:r>
      <w:r>
        <w:rPr>
          <w:rFonts w:ascii="ISOCPEUR" w:hAnsi="ISOCPEUR"/>
          <w:b w:val="false"/>
          <w:i w:val="false"/>
          <w:caps w:val="false"/>
          <w:smallCaps w:val="false"/>
          <w:color w:val="333333"/>
          <w:spacing w:val="0"/>
          <w:sz w:val="22"/>
          <w:szCs w:val="22"/>
        </w:rPr>
        <w:t xml:space="preserve"> grzejnik</w:t>
      </w:r>
      <w:r>
        <w:rPr>
          <w:rFonts w:eastAsia="" w:cs="" w:ascii="ISOCPEUR" w:hAnsi="ISOCPEUR"/>
          <w:b w:val="false"/>
          <w:i w:val="false"/>
          <w:caps w:val="false"/>
          <w:smallCaps w:val="false"/>
          <w:color w:val="333333"/>
          <w:spacing w:val="0"/>
          <w:kern w:val="0"/>
          <w:sz w:val="22"/>
          <w:szCs w:val="22"/>
          <w:lang w:val="pl-PL" w:eastAsia="en-US" w:bidi="ar-SA"/>
        </w:rPr>
        <w:t>a to</w:t>
      </w:r>
      <w:r>
        <w:rPr>
          <w:rFonts w:ascii="ISOCPEUR" w:hAnsi="ISOCPEUR"/>
          <w:b w:val="false"/>
          <w:i w:val="false"/>
          <w:caps w:val="false"/>
          <w:smallCaps w:val="false"/>
          <w:color w:val="333333"/>
          <w:spacing w:val="0"/>
          <w:sz w:val="22"/>
          <w:szCs w:val="22"/>
        </w:rPr>
        <w:t xml:space="preserve"> 500mm. Długość grzejnik</w:t>
      </w:r>
      <w:r>
        <w:rPr>
          <w:rFonts w:eastAsia="" w:cs="" w:ascii="ISOCPEUR" w:hAnsi="ISOCPEUR"/>
          <w:b w:val="false"/>
          <w:i w:val="false"/>
          <w:caps w:val="false"/>
          <w:smallCaps w:val="false"/>
          <w:color w:val="333333"/>
          <w:spacing w:val="0"/>
          <w:kern w:val="0"/>
          <w:sz w:val="22"/>
          <w:szCs w:val="22"/>
          <w:lang w:val="pl-PL" w:eastAsia="en-US" w:bidi="ar-SA"/>
        </w:rPr>
        <w:t>a</w:t>
      </w:r>
      <w:r>
        <w:rPr>
          <w:rFonts w:ascii="ISOCPEUR" w:hAnsi="ISOCPEUR"/>
          <w:b w:val="false"/>
          <w:i w:val="false"/>
          <w:caps w:val="false"/>
          <w:smallCaps w:val="false"/>
          <w:color w:val="333333"/>
          <w:spacing w:val="0"/>
          <w:sz w:val="22"/>
          <w:szCs w:val="22"/>
        </w:rPr>
        <w:t xml:space="preserve"> wg. części rysunkowej opracowania. Grzejnik</w:t>
      </w:r>
      <w:r>
        <w:rPr>
          <w:rFonts w:ascii="ISOCPEUR" w:hAnsi="ISOCPEUR"/>
          <w:b w:val="false"/>
          <w:i w:val="false"/>
          <w:caps w:val="false"/>
          <w:smallCaps w:val="false"/>
          <w:color w:val="333333"/>
          <w:spacing w:val="0"/>
          <w:sz w:val="22"/>
          <w:szCs w:val="22"/>
        </w:rPr>
        <w:t>i</w:t>
      </w:r>
      <w:r>
        <w:rPr>
          <w:rFonts w:ascii="ISOCPEUR" w:hAnsi="ISOCPEUR"/>
          <w:b w:val="false"/>
          <w:i w:val="false"/>
          <w:caps w:val="false"/>
          <w:smallCaps w:val="false"/>
          <w:color w:val="333333"/>
          <w:spacing w:val="0"/>
          <w:sz w:val="22"/>
          <w:szCs w:val="22"/>
        </w:rPr>
        <w:t xml:space="preserve"> montować zgodnie z częścią rysunkową opracowania. Grzejnik posiada wbudowany regulator temperatury. Do pracy standardowej grzejnik ustawić na temperaturę +</w:t>
      </w:r>
      <w:r>
        <w:rPr>
          <w:rFonts w:eastAsia="" w:cs="" w:ascii="ISOCPEUR" w:hAnsi="ISOCPEUR"/>
          <w:b w:val="false"/>
          <w:i w:val="false"/>
          <w:caps w:val="false"/>
          <w:smallCaps w:val="false"/>
          <w:color w:val="333333"/>
          <w:spacing w:val="0"/>
          <w:kern w:val="0"/>
          <w:sz w:val="22"/>
          <w:szCs w:val="22"/>
          <w:lang w:val="pl-PL" w:eastAsia="en-US" w:bidi="ar-SA"/>
        </w:rPr>
        <w:t>6</w:t>
      </w:r>
      <w:r>
        <w:rPr>
          <w:rFonts w:ascii="ISOCPEUR" w:hAnsi="ISOCPEUR"/>
          <w:b w:val="false"/>
          <w:i w:val="false"/>
          <w:caps w:val="false"/>
          <w:smallCaps w:val="false"/>
          <w:color w:val="333333"/>
          <w:spacing w:val="0"/>
          <w:sz w:val="22"/>
          <w:szCs w:val="22"/>
        </w:rPr>
        <w:t xml:space="preserve"> st. C. Należy przewidzieć zasilenie grzejnik</w:t>
      </w:r>
      <w:r>
        <w:rPr>
          <w:rFonts w:eastAsia="" w:cs="" w:ascii="ISOCPEUR" w:hAnsi="ISOCPEUR"/>
          <w:b w:val="false"/>
          <w:i w:val="false"/>
          <w:caps w:val="false"/>
          <w:smallCaps w:val="false"/>
          <w:color w:val="333333"/>
          <w:spacing w:val="0"/>
          <w:kern w:val="0"/>
          <w:sz w:val="22"/>
          <w:szCs w:val="22"/>
          <w:lang w:val="pl-PL" w:eastAsia="en-US" w:bidi="ar-SA"/>
        </w:rPr>
        <w:t>a</w:t>
      </w:r>
      <w:r>
        <w:rPr>
          <w:rFonts w:ascii="ISOCPEUR" w:hAnsi="ISOCPEUR"/>
          <w:b w:val="false"/>
          <w:i w:val="false"/>
          <w:caps w:val="false"/>
          <w:smallCaps w:val="false"/>
          <w:color w:val="333333"/>
          <w:spacing w:val="0"/>
          <w:sz w:val="22"/>
          <w:szCs w:val="22"/>
        </w:rPr>
        <w:t xml:space="preserve"> elektryczn</w:t>
      </w:r>
      <w:r>
        <w:rPr>
          <w:rFonts w:eastAsia="" w:cs="" w:ascii="ISOCPEUR" w:hAnsi="ISOCPEUR"/>
          <w:b w:val="false"/>
          <w:i w:val="false"/>
          <w:caps w:val="false"/>
          <w:smallCaps w:val="false"/>
          <w:color w:val="333333"/>
          <w:spacing w:val="0"/>
          <w:kern w:val="0"/>
          <w:sz w:val="22"/>
          <w:szCs w:val="22"/>
          <w:lang w:val="pl-PL" w:eastAsia="en-US" w:bidi="ar-SA"/>
        </w:rPr>
        <w:t>ego</w:t>
      </w:r>
      <w:r>
        <w:rPr>
          <w:rFonts w:ascii="ISOCPEUR" w:hAnsi="ISOCPEUR"/>
          <w:b w:val="false"/>
          <w:i w:val="false"/>
          <w:caps w:val="false"/>
          <w:smallCaps w:val="false"/>
          <w:color w:val="333333"/>
          <w:spacing w:val="0"/>
          <w:sz w:val="22"/>
          <w:szCs w:val="22"/>
        </w:rPr>
        <w:t xml:space="preserve">: napięcie zasilania 230V. </w:t>
      </w:r>
    </w:p>
    <w:p>
      <w:pPr>
        <w:pStyle w:val="Nagwek3"/>
        <w:spacing w:lineRule="auto" w:line="360"/>
        <w:rPr>
          <w:rFonts w:ascii="ISOCPEUR" w:hAnsi="ISOCPEUR"/>
        </w:rPr>
      </w:pPr>
      <w:bookmarkStart w:id="51" w:name="__RefHeading___Toc6630_147198277621"/>
      <w:bookmarkEnd w:id="51"/>
      <w:r>
        <w:rPr>
          <w:rFonts w:eastAsia="" w:cs="" w:ascii="ISOCPEUR" w:hAnsi="ISOCPEUR"/>
          <w:b/>
          <w:bCs/>
          <w:i w:val="false"/>
          <w:caps w:val="false"/>
          <w:smallCaps w:val="false"/>
          <w:color w:val="auto"/>
          <w:spacing w:val="0"/>
          <w:kern w:val="0"/>
          <w:sz w:val="22"/>
          <w:szCs w:val="22"/>
          <w:lang w:val="pl-PL" w:eastAsia="en-US" w:bidi="ar-SA"/>
        </w:rPr>
        <w:t>INSTALACJA WOD-KAN BUDYNKU SUW</w:t>
      </w:r>
    </w:p>
    <w:p>
      <w:pPr>
        <w:pStyle w:val="Normal"/>
        <w:spacing w:lineRule="auto" w:line="360"/>
        <w:rPr>
          <w:rFonts w:ascii="ISOCPEUR" w:hAnsi="ISOCPEUR" w:eastAsia="" w:cs="" w:cstheme="majorBidi" w:eastAsiaTheme="majorEastAsia"/>
          <w:b w:val="false"/>
          <w:b w:val="false"/>
          <w:bCs w:val="false"/>
          <w:smallCaps/>
          <w:color w:val="auto"/>
          <w:kern w:val="0"/>
          <w:sz w:val="22"/>
          <w:szCs w:val="22"/>
          <w:lang w:val="pl-PL" w:eastAsia="en-US" w:bidi="ar-SA"/>
        </w:rPr>
      </w:pP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INSTALACJA KANALIZACJI TECHNOLOGICZNEJ</w:t>
      </w:r>
    </w:p>
    <w:p>
      <w:pPr>
        <w:pStyle w:val="Normal"/>
        <w:spacing w:lineRule="auto" w:line="360"/>
        <w:rPr>
          <w:rFonts w:ascii="ISOCPEUR" w:hAnsi="ISOCPEUR" w:eastAsia="" w:cs="" w:cstheme="majorBidi" w:eastAsiaTheme="majorEastAsia"/>
          <w:b w:val="false"/>
          <w:b w:val="false"/>
          <w:bCs w:val="false"/>
          <w:smallCaps/>
          <w:color w:val="auto"/>
          <w:kern w:val="0"/>
          <w:sz w:val="22"/>
          <w:szCs w:val="22"/>
          <w:lang w:val="pl-PL" w:eastAsia="en-US" w:bidi="ar-SA"/>
        </w:rPr>
      </w:pP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Instalację kanalizacji wykonać z rur i kształtek PVC kielichowych o złączach uszczelnianych pierścieniami gumowymi. Przewody kanalizacyjne układać w posadzce oraz w bruzdach ściennych ze spadkiem minimum i=2%. Kanał odpływowy ścieków technologicznych, włączony zostanie do istniejącego bezodpływowego zbiornika na ścieki. Piony kanalizacyjne PCV110 zostaną wymienione na nowe oraz wyprowadzone ponad dach budynku i zakończone wywiewkami kanalizacyjnymi PCV160. Na każdym pionie zamontować rewizję PCV110 nad posadzką pomieszczenia. Odgałęzienia przewodów odpływowych należy wykonać za pomocą trójników o kącie rozwarcia nie większym niż 45</w:t>
      </w:r>
      <w:r>
        <w:rPr>
          <w:rFonts w:eastAsia="" w:cs="" w:ascii="ISOCPEUR" w:hAnsi="ISOCPEUR" w:cstheme="majorBidi" w:eastAsiaTheme="majorEastAsia"/>
          <w:b w:val="false"/>
          <w:bCs w:val="false"/>
          <w:i w:val="false"/>
          <w:caps w:val="false"/>
          <w:smallCaps w:val="false"/>
          <w:color w:val="auto" w:themeColor="text1"/>
          <w:spacing w:val="0"/>
          <w:kern w:val="0"/>
          <w:sz w:val="22"/>
          <w:szCs w:val="22"/>
          <w:vertAlign w:val="superscript"/>
          <w:lang w:val="pl-PL" w:eastAsia="en-US" w:bidi="ar-SA"/>
        </w:rPr>
        <w:t>O</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 xml:space="preserve">. Przewody kanalizacyjne prowadzić poniżej przewodów wodociągowych, grzewczych, elektrycznych. W miejscach przejść przewodów kanalizacyjnych przez przegrody budowlane założyć tuleje ochronne. Średnica wewnętrzna tulei ochronnej min. 5 cm większa od średnicy zewnętrznej rury kanalizacyjnej. W tulei ochronnej nie mogą znajdować się żadne połączenia przewodów. Remontem należy objąć wymianę istniejącego wpustu podłogowego w chlorowni, na nowy z rusztem wykonanym ze stali nierdzewnej. Dodatkowo należy wykonać rewizję w podłodze nad, którą należy skierować rurociąg odprowadzający wodę popłuczną </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z czterech filtrów kompozytowych</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 W zakresie zadania należy wymienić wpusty podłogowe na kratki z rusztami nierdzewnymi.</w:t>
      </w:r>
    </w:p>
    <w:p>
      <w:pPr>
        <w:pStyle w:val="Normal"/>
        <w:spacing w:lineRule="auto" w:line="360"/>
        <w:rPr>
          <w:rFonts w:ascii="ISOCPEUR" w:hAnsi="ISOCPEUR" w:eastAsia="" w:cs="" w:cstheme="majorBidi" w:eastAsiaTheme="majorEastAsia"/>
          <w:b w:val="false"/>
          <w:b w:val="false"/>
          <w:bCs w:val="false"/>
          <w:smallCaps/>
          <w:color w:val="auto"/>
          <w:kern w:val="0"/>
          <w:sz w:val="22"/>
          <w:szCs w:val="22"/>
          <w:lang w:val="pl-PL" w:eastAsia="en-US" w:bidi="ar-SA"/>
        </w:rPr>
      </w:pP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 xml:space="preserve">Budynek wyposażony w dwie umywalki. W ramach remontu przewidziano wymianę uszkodzonych umywalek. Ciepła woda przygotowywana będzie poprzez projektowany przepływowy elektryczny podgrzewacz c.w. </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montowany dla każdej umywalki z osobna.</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 xml:space="preserve"> Lokalizacja urządzeń sanitarnych wg części graficznej opracowania. </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Wymianie należy poddać miskę ustępową, gdyż istniejąca nie nadaje się do użytkowania.</w:t>
      </w:r>
    </w:p>
    <w:p>
      <w:pPr>
        <w:pStyle w:val="Nagwek3"/>
        <w:spacing w:lineRule="auto" w:line="360"/>
        <w:rPr>
          <w:rFonts w:ascii="ISOCPEUR" w:hAnsi="ISOCPEUR" w:eastAsia="" w:cs="" w:cstheme="majorBidi" w:eastAsiaTheme="majorEastAsia"/>
          <w:b/>
          <w:b/>
          <w:bCs/>
          <w:smallCaps/>
          <w:color w:val="auto"/>
          <w:kern w:val="0"/>
          <w:sz w:val="22"/>
          <w:szCs w:val="22"/>
          <w:lang w:val="pl-PL" w:eastAsia="en-US" w:bidi="ar-SA"/>
        </w:rPr>
      </w:pPr>
      <w:bookmarkStart w:id="52" w:name="__RefHeading___Toc6630_1471982776211"/>
      <w:bookmarkEnd w:id="52"/>
      <w:r>
        <w:rPr>
          <w:rFonts w:eastAsia="" w:cs="" w:ascii="ISOCPEUR" w:hAnsi="ISOCPEUR" w:cstheme="majorBidi" w:eastAsiaTheme="majorEastAsia"/>
          <w:b/>
          <w:bCs/>
          <w:i w:val="false"/>
          <w:caps w:val="false"/>
          <w:smallCaps w:val="false"/>
          <w:color w:val="auto" w:themeColor="text1"/>
          <w:spacing w:val="0"/>
          <w:kern w:val="0"/>
          <w:sz w:val="22"/>
          <w:szCs w:val="22"/>
          <w:lang w:val="pl-PL" w:eastAsia="en-US" w:bidi="ar-SA"/>
        </w:rPr>
        <w:t>INSTALACJA WENTYLACJI BUDYNKU SUW</w:t>
      </w:r>
    </w:p>
    <w:p>
      <w:pPr>
        <w:pStyle w:val="Normal"/>
        <w:spacing w:lineRule="auto" w:line="360"/>
        <w:rPr>
          <w:b w:val="false"/>
          <w:b w:val="false"/>
          <w:bCs w:val="false"/>
        </w:rPr>
      </w:pPr>
      <w:r>
        <w:rPr>
          <w:rFonts w:eastAsia="" w:cs="" w:ascii="ISOCPEUR" w:hAnsi="ISOCPEUR"/>
          <w:b w:val="false"/>
          <w:bCs w:val="false"/>
          <w:i w:val="false"/>
          <w:caps w:val="false"/>
          <w:smallCaps w:val="false"/>
          <w:color w:val="auto"/>
          <w:spacing w:val="0"/>
          <w:kern w:val="0"/>
          <w:sz w:val="22"/>
          <w:szCs w:val="22"/>
          <w:lang w:val="pl-PL" w:eastAsia="en-US" w:bidi="ar-SA"/>
        </w:rPr>
        <w:t>Zakłada się 2-krotną wymianę powietrza w pomieszczeniu stacji uzdatniania wody.</w:t>
      </w:r>
    </w:p>
    <w:p>
      <w:pPr>
        <w:pStyle w:val="Normal"/>
        <w:spacing w:lineRule="auto" w:line="360"/>
        <w:jc w:val="left"/>
        <w:rPr>
          <w:b w:val="false"/>
          <w:b w:val="false"/>
          <w:bCs w:val="false"/>
        </w:rPr>
      </w:pPr>
      <w:r>
        <w:rPr>
          <w:rFonts w:eastAsia="" w:cs="" w:ascii="ISOCPEUR" w:hAnsi="ISOCPEUR"/>
          <w:b w:val="false"/>
          <w:bCs w:val="false"/>
          <w:i w:val="false"/>
          <w:caps w:val="false"/>
          <w:smallCaps w:val="false"/>
          <w:color w:val="auto"/>
          <w:spacing w:val="0"/>
          <w:kern w:val="0"/>
          <w:sz w:val="22"/>
          <w:szCs w:val="22"/>
          <w:lang w:val="pl-PL" w:eastAsia="en-US" w:bidi="ar-SA"/>
        </w:rPr>
        <w:t xml:space="preserve">Kubatura = </w:t>
      </w:r>
      <w:r>
        <w:rPr>
          <w:rFonts w:eastAsia="" w:cs="" w:ascii="ISOCPEUR" w:hAnsi="ISOCPEUR"/>
          <w:b w:val="false"/>
          <w:bCs w:val="false"/>
          <w:i w:val="false"/>
          <w:caps w:val="false"/>
          <w:smallCaps w:val="false"/>
          <w:color w:val="auto"/>
          <w:spacing w:val="0"/>
          <w:kern w:val="0"/>
          <w:sz w:val="22"/>
          <w:szCs w:val="22"/>
          <w:lang w:val="pl-PL" w:eastAsia="en-US" w:bidi="ar-SA"/>
        </w:rPr>
        <w:t>10,13</w:t>
      </w:r>
      <w:r>
        <w:rPr>
          <w:rFonts w:eastAsia="" w:cs="" w:ascii="ISOCPEUR" w:hAnsi="ISOCPEUR"/>
          <w:b w:val="false"/>
          <w:bCs w:val="false"/>
          <w:i w:val="false"/>
          <w:caps w:val="false"/>
          <w:smallCaps w:val="false"/>
          <w:color w:val="auto"/>
          <w:spacing w:val="0"/>
          <w:kern w:val="0"/>
          <w:sz w:val="22"/>
          <w:szCs w:val="22"/>
          <w:lang w:val="pl-PL" w:eastAsia="en-US" w:bidi="ar-SA"/>
        </w:rPr>
        <w:t>m2x</w:t>
      </w:r>
      <w:r>
        <w:rPr>
          <w:rFonts w:eastAsia="" w:cs="" w:ascii="ISOCPEUR" w:hAnsi="ISOCPEUR"/>
          <w:b w:val="false"/>
          <w:bCs w:val="false"/>
          <w:i w:val="false"/>
          <w:caps w:val="false"/>
          <w:smallCaps w:val="false"/>
          <w:color w:val="auto"/>
          <w:spacing w:val="0"/>
          <w:kern w:val="0"/>
          <w:sz w:val="22"/>
          <w:szCs w:val="22"/>
          <w:lang w:val="pl-PL" w:eastAsia="en-US" w:bidi="ar-SA"/>
        </w:rPr>
        <w:t>2</w:t>
      </w:r>
      <w:r>
        <w:rPr>
          <w:rFonts w:eastAsia="" w:cs="" w:ascii="ISOCPEUR" w:hAnsi="ISOCPEUR"/>
          <w:b w:val="false"/>
          <w:bCs w:val="false"/>
          <w:i w:val="false"/>
          <w:caps w:val="false"/>
          <w:smallCaps w:val="false"/>
          <w:color w:val="auto"/>
          <w:spacing w:val="0"/>
          <w:kern w:val="0"/>
          <w:sz w:val="22"/>
          <w:szCs w:val="22"/>
          <w:lang w:val="pl-PL" w:eastAsia="en-US" w:bidi="ar-SA"/>
        </w:rPr>
        <w:t>,</w:t>
      </w:r>
      <w:r>
        <w:rPr>
          <w:rFonts w:eastAsia="" w:cs="" w:ascii="ISOCPEUR" w:hAnsi="ISOCPEUR"/>
          <w:b w:val="false"/>
          <w:bCs w:val="false"/>
          <w:i w:val="false"/>
          <w:caps w:val="false"/>
          <w:smallCaps w:val="false"/>
          <w:color w:val="auto"/>
          <w:spacing w:val="0"/>
          <w:kern w:val="0"/>
          <w:sz w:val="22"/>
          <w:szCs w:val="22"/>
          <w:lang w:val="pl-PL" w:eastAsia="en-US" w:bidi="ar-SA"/>
        </w:rPr>
        <w:t>95</w:t>
      </w:r>
      <w:r>
        <w:rPr>
          <w:rFonts w:eastAsia="" w:cs="" w:ascii="ISOCPEUR" w:hAnsi="ISOCPEUR"/>
          <w:b w:val="false"/>
          <w:bCs w:val="false"/>
          <w:i w:val="false"/>
          <w:caps w:val="false"/>
          <w:smallCaps w:val="false"/>
          <w:color w:val="auto"/>
          <w:spacing w:val="0"/>
          <w:kern w:val="0"/>
          <w:sz w:val="22"/>
          <w:szCs w:val="22"/>
          <w:lang w:val="pl-PL" w:eastAsia="en-US" w:bidi="ar-SA"/>
        </w:rPr>
        <w:t xml:space="preserve">m= </w:t>
      </w:r>
      <w:r>
        <w:rPr>
          <w:rFonts w:eastAsia="" w:cs="" w:ascii="ISOCPEUR" w:hAnsi="ISOCPEUR"/>
          <w:b w:val="false"/>
          <w:bCs w:val="false"/>
          <w:i w:val="false"/>
          <w:caps w:val="false"/>
          <w:smallCaps w:val="false"/>
          <w:color w:val="auto"/>
          <w:spacing w:val="0"/>
          <w:kern w:val="0"/>
          <w:sz w:val="22"/>
          <w:szCs w:val="22"/>
          <w:lang w:val="pl-PL" w:eastAsia="en-US" w:bidi="ar-SA"/>
        </w:rPr>
        <w:t>29</w:t>
      </w:r>
      <w:r>
        <w:rPr>
          <w:rFonts w:eastAsia="" w:cs="" w:ascii="ISOCPEUR" w:hAnsi="ISOCPEUR"/>
          <w:b w:val="false"/>
          <w:bCs w:val="false"/>
          <w:i w:val="false"/>
          <w:caps w:val="false"/>
          <w:smallCaps w:val="false"/>
          <w:color w:val="auto"/>
          <w:spacing w:val="0"/>
          <w:kern w:val="0"/>
          <w:sz w:val="22"/>
          <w:szCs w:val="22"/>
          <w:lang w:val="pl-PL" w:eastAsia="en-US" w:bidi="ar-SA"/>
        </w:rPr>
        <w:t>,</w:t>
      </w:r>
      <w:r>
        <w:rPr>
          <w:rFonts w:eastAsia="" w:cs="" w:ascii="ISOCPEUR" w:hAnsi="ISOCPEUR"/>
          <w:b w:val="false"/>
          <w:bCs w:val="false"/>
          <w:i w:val="false"/>
          <w:caps w:val="false"/>
          <w:smallCaps w:val="false"/>
          <w:color w:val="auto"/>
          <w:spacing w:val="0"/>
          <w:kern w:val="0"/>
          <w:sz w:val="22"/>
          <w:szCs w:val="22"/>
          <w:lang w:val="pl-PL" w:eastAsia="en-US" w:bidi="ar-SA"/>
        </w:rPr>
        <w:t>88</w:t>
      </w:r>
      <w:r>
        <w:rPr>
          <w:rFonts w:eastAsia="" w:cs="" w:ascii="ISOCPEUR" w:hAnsi="ISOCPEUR"/>
          <w:b w:val="false"/>
          <w:bCs w:val="false"/>
          <w:i w:val="false"/>
          <w:caps w:val="false"/>
          <w:smallCaps w:val="false"/>
          <w:color w:val="auto"/>
          <w:spacing w:val="0"/>
          <w:kern w:val="0"/>
          <w:sz w:val="22"/>
          <w:szCs w:val="22"/>
          <w:lang w:val="pl-PL" w:eastAsia="en-US" w:bidi="ar-SA"/>
        </w:rPr>
        <w:t xml:space="preserve">m3 </w:t>
        <w:br/>
        <w:t xml:space="preserve">V = </w:t>
      </w:r>
      <w:r>
        <w:rPr>
          <w:rFonts w:eastAsia="" w:cs="" w:ascii="ISOCPEUR" w:hAnsi="ISOCPEUR"/>
          <w:b w:val="false"/>
          <w:bCs w:val="false"/>
          <w:i w:val="false"/>
          <w:caps w:val="false"/>
          <w:smallCaps w:val="false"/>
          <w:color w:val="auto"/>
          <w:spacing w:val="0"/>
          <w:kern w:val="0"/>
          <w:sz w:val="22"/>
          <w:szCs w:val="22"/>
          <w:lang w:val="pl-PL" w:eastAsia="en-US" w:bidi="ar-SA"/>
        </w:rPr>
        <w:t>5</w:t>
      </w:r>
      <w:r>
        <w:rPr>
          <w:rFonts w:eastAsia="" w:cs="" w:ascii="ISOCPEUR" w:hAnsi="ISOCPEUR"/>
          <w:b w:val="false"/>
          <w:bCs w:val="false"/>
          <w:i w:val="false"/>
          <w:caps w:val="false"/>
          <w:smallCaps w:val="false"/>
          <w:color w:val="auto"/>
          <w:spacing w:val="0"/>
          <w:kern w:val="0"/>
          <w:sz w:val="22"/>
          <w:szCs w:val="22"/>
          <w:lang w:val="pl-PL" w:eastAsia="en-US" w:bidi="ar-SA"/>
        </w:rPr>
        <w:t xml:space="preserve"> x </w:t>
      </w:r>
      <w:r>
        <w:rPr>
          <w:rFonts w:eastAsia="" w:cs="" w:ascii="ISOCPEUR" w:hAnsi="ISOCPEUR"/>
          <w:b w:val="false"/>
          <w:bCs w:val="false"/>
          <w:i w:val="false"/>
          <w:caps w:val="false"/>
          <w:smallCaps w:val="false"/>
          <w:color w:val="auto"/>
          <w:spacing w:val="0"/>
          <w:kern w:val="0"/>
          <w:sz w:val="22"/>
          <w:szCs w:val="22"/>
          <w:lang w:val="pl-PL" w:eastAsia="en-US" w:bidi="ar-SA"/>
        </w:rPr>
        <w:t>30</w:t>
      </w:r>
      <w:r>
        <w:rPr>
          <w:rFonts w:eastAsia="" w:cs="" w:ascii="ISOCPEUR" w:hAnsi="ISOCPEUR"/>
          <w:b w:val="false"/>
          <w:bCs w:val="false"/>
          <w:i w:val="false"/>
          <w:caps w:val="false"/>
          <w:smallCaps w:val="false"/>
          <w:color w:val="auto"/>
          <w:spacing w:val="0"/>
          <w:kern w:val="0"/>
          <w:sz w:val="22"/>
          <w:szCs w:val="22"/>
          <w:lang w:val="pl-PL" w:eastAsia="en-US" w:bidi="ar-SA"/>
        </w:rPr>
        <w:t xml:space="preserve"> = </w:t>
      </w:r>
      <w:r>
        <w:rPr>
          <w:rFonts w:eastAsia="" w:cs="" w:ascii="ISOCPEUR" w:hAnsi="ISOCPEUR"/>
          <w:b w:val="false"/>
          <w:bCs w:val="false"/>
          <w:i w:val="false"/>
          <w:caps w:val="false"/>
          <w:smallCaps w:val="false"/>
          <w:color w:val="auto"/>
          <w:spacing w:val="0"/>
          <w:kern w:val="0"/>
          <w:sz w:val="22"/>
          <w:szCs w:val="22"/>
          <w:lang w:val="pl-PL" w:eastAsia="en-US" w:bidi="ar-SA"/>
        </w:rPr>
        <w:t>150</w:t>
      </w:r>
      <w:r>
        <w:rPr>
          <w:rFonts w:eastAsia="" w:cs="" w:ascii="ISOCPEUR" w:hAnsi="ISOCPEUR"/>
          <w:b w:val="false"/>
          <w:bCs w:val="false"/>
          <w:i w:val="false"/>
          <w:caps w:val="false"/>
          <w:smallCaps w:val="false"/>
          <w:color w:val="auto"/>
          <w:spacing w:val="0"/>
          <w:kern w:val="0"/>
          <w:sz w:val="22"/>
          <w:szCs w:val="22"/>
          <w:lang w:val="pl-PL" w:eastAsia="en-US" w:bidi="ar-SA"/>
        </w:rPr>
        <w:t xml:space="preserve">,0 m3/h </w:t>
      </w:r>
    </w:p>
    <w:p>
      <w:pPr>
        <w:pStyle w:val="Normal"/>
        <w:spacing w:lineRule="auto" w:line="360"/>
        <w:rPr>
          <w:b w:val="false"/>
          <w:b w:val="false"/>
          <w:bCs w:val="false"/>
        </w:rPr>
      </w:pPr>
      <w:r>
        <w:rPr>
          <w:rFonts w:eastAsia="" w:cs="" w:ascii="ISOCPEUR" w:hAnsi="ISOCPEUR"/>
          <w:b w:val="false"/>
          <w:bCs w:val="false"/>
          <w:i w:val="false"/>
          <w:caps w:val="false"/>
          <w:smallCaps w:val="false"/>
          <w:color w:val="auto"/>
          <w:spacing w:val="0"/>
          <w:kern w:val="0"/>
          <w:sz w:val="22"/>
          <w:szCs w:val="22"/>
          <w:lang w:val="pl-PL" w:eastAsia="en-US" w:bidi="ar-SA"/>
        </w:rPr>
        <w:t>Zakładając prędkość przepływu powietrza v=1,0m/s, minimalna powierzchnia przekroju kanału nawiewnego wyniesie ok. 0,06m2. Przyjęto nawiew poprzez rozszczelnione okno. Wentylację wywiewną w pomieszczeniu wykonać w postaci kanału wywiewnego PVC160mm (chemoodpornego) zakończonego wentylatorem dachowym Φ160 w dotychczasowej lokalizacji wyrzutni powietrza. Wentylator wydajności V=1</w:t>
      </w:r>
      <w:r>
        <w:rPr>
          <w:rFonts w:eastAsia="" w:cs="" w:ascii="ISOCPEUR" w:hAnsi="ISOCPEUR"/>
          <w:b w:val="false"/>
          <w:bCs w:val="false"/>
          <w:i w:val="false"/>
          <w:caps w:val="false"/>
          <w:smallCaps w:val="false"/>
          <w:color w:val="auto"/>
          <w:spacing w:val="0"/>
          <w:kern w:val="0"/>
          <w:sz w:val="22"/>
          <w:szCs w:val="22"/>
          <w:lang w:val="pl-PL" w:eastAsia="en-US" w:bidi="ar-SA"/>
        </w:rPr>
        <w:t>5</w:t>
      </w:r>
      <w:r>
        <w:rPr>
          <w:rFonts w:eastAsia="" w:cs="" w:ascii="ISOCPEUR" w:hAnsi="ISOCPEUR"/>
          <w:b w:val="false"/>
          <w:bCs w:val="false"/>
          <w:i w:val="false"/>
          <w:caps w:val="false"/>
          <w:smallCaps w:val="false"/>
          <w:color w:val="auto"/>
          <w:spacing w:val="0"/>
          <w:kern w:val="0"/>
          <w:sz w:val="22"/>
          <w:szCs w:val="22"/>
          <w:lang w:val="pl-PL" w:eastAsia="en-US" w:bidi="ar-SA"/>
        </w:rPr>
        <w:t>0m3/h.</w:t>
      </w:r>
    </w:p>
    <w:p>
      <w:pPr>
        <w:pStyle w:val="Nagwek2"/>
        <w:spacing w:lineRule="auto" w:line="360"/>
        <w:rPr>
          <w:rFonts w:ascii="ISOCPEUR" w:hAnsi="ISOCPEUR"/>
        </w:rPr>
      </w:pPr>
      <w:bookmarkStart w:id="53" w:name="__RefHeading___Toc6628_1471982776"/>
      <w:bookmarkStart w:id="54" w:name="_Toc185095279"/>
      <w:bookmarkEnd w:id="53"/>
      <w:r>
        <w:rPr>
          <w:rFonts w:ascii="ISOCPEUR" w:hAnsi="ISOCPEUR"/>
        </w:rPr>
        <w:t xml:space="preserve">Rozwiązania </w:t>
      </w:r>
      <w:bookmarkEnd w:id="54"/>
      <w:r>
        <w:rPr>
          <w:rFonts w:eastAsia="" w:cs="" w:ascii="ISOCPEUR" w:hAnsi="ISOCPEUR" w:cstheme="majorBidi" w:eastAsiaTheme="majorEastAsia"/>
          <w:b/>
          <w:bCs/>
          <w:smallCaps/>
          <w:color w:val="000000" w:themeColor="text1"/>
          <w:kern w:val="0"/>
          <w:sz w:val="24"/>
          <w:szCs w:val="28"/>
          <w:lang w:val="pl-PL" w:eastAsia="en-US" w:bidi="ar-SA"/>
        </w:rPr>
        <w:t>Technologiczne</w:t>
      </w:r>
    </w:p>
    <w:p>
      <w:pPr>
        <w:pStyle w:val="Tretekstu"/>
        <w:widowControl/>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bCs/>
          <w:i w:val="false"/>
          <w:caps w:val="false"/>
          <w:smallCaps w:val="false"/>
          <w:color w:val="333333"/>
          <w:spacing w:val="0"/>
          <w:sz w:val="22"/>
          <w:szCs w:val="22"/>
        </w:rPr>
        <w:t xml:space="preserve">Urządzenia w stacji uzdatniania wody </w:t>
      </w:r>
      <w:r>
        <w:rPr>
          <w:rFonts w:eastAsia="" w:cs="" w:ascii="ISOCPEUR" w:hAnsi="ISOCPEUR"/>
          <w:b w:val="false"/>
          <w:bCs/>
          <w:i w:val="false"/>
          <w:caps w:val="false"/>
          <w:smallCaps w:val="false"/>
          <w:color w:val="333333"/>
          <w:spacing w:val="0"/>
          <w:kern w:val="2"/>
          <w:sz w:val="22"/>
          <w:szCs w:val="22"/>
          <w:lang w:val="pl-PL" w:eastAsia="ar-SA" w:bidi="ar-SA"/>
        </w:rPr>
        <w:t>działają</w:t>
      </w:r>
      <w:r>
        <w:rPr>
          <w:rFonts w:eastAsia="" w:cs="" w:ascii="ISOCPEUR" w:hAnsi="ISOCPEUR"/>
          <w:b w:val="false"/>
          <w:bCs/>
          <w:i w:val="false"/>
          <w:caps w:val="false"/>
          <w:smallCaps w:val="false"/>
          <w:color w:val="333333"/>
          <w:spacing w:val="0"/>
          <w:sz w:val="22"/>
          <w:szCs w:val="22"/>
        </w:rPr>
        <w:t xml:space="preserve"> na wydajność ok. Qh =</w:t>
      </w:r>
      <w:r>
        <w:rPr>
          <w:rFonts w:eastAsia="" w:cs="" w:ascii="ISOCPEUR" w:hAnsi="ISOCPEUR"/>
          <w:b w:val="false"/>
          <w:bCs/>
          <w:i w:val="false"/>
          <w:caps w:val="false"/>
          <w:smallCaps w:val="false"/>
          <w:color w:val="333333"/>
          <w:spacing w:val="0"/>
          <w:kern w:val="2"/>
          <w:sz w:val="22"/>
          <w:szCs w:val="22"/>
          <w:lang w:val="pl-PL" w:eastAsia="ar-SA" w:bidi="ar-SA"/>
        </w:rPr>
        <w:t>4</w:t>
      </w:r>
      <w:r>
        <w:rPr>
          <w:rFonts w:eastAsia="" w:cs="" w:ascii="ISOCPEUR" w:hAnsi="ISOCPEUR"/>
          <w:b w:val="false"/>
          <w:bCs/>
          <w:i w:val="false"/>
          <w:caps w:val="false"/>
          <w:smallCaps w:val="false"/>
          <w:color w:val="333333"/>
          <w:spacing w:val="0"/>
          <w:kern w:val="2"/>
          <w:sz w:val="22"/>
          <w:szCs w:val="22"/>
          <w:lang w:val="pl-PL" w:eastAsia="ar-SA" w:bidi="ar-SA"/>
        </w:rPr>
        <w:t>7,00</w:t>
      </w:r>
      <w:r>
        <w:rPr>
          <w:rFonts w:eastAsia="" w:cs="" w:ascii="ISOCPEUR" w:hAnsi="ISOCPEUR"/>
          <w:b w:val="false"/>
          <w:bCs/>
          <w:i w:val="false"/>
          <w:caps w:val="false"/>
          <w:smallCaps w:val="false"/>
          <w:color w:val="333333"/>
          <w:spacing w:val="0"/>
          <w:sz w:val="22"/>
          <w:szCs w:val="22"/>
        </w:rPr>
        <w:t xml:space="preserve"> m3/h, zgodnie z  pozwoleniem wodnoprawnym </w:t>
      </w:r>
      <w:r>
        <w:rPr>
          <w:rFonts w:eastAsia="" w:cs="" w:ascii="ISOCPEUR" w:hAnsi="ISOCPEUR"/>
          <w:b w:val="false"/>
          <w:bCs/>
          <w:i w:val="false"/>
          <w:caps w:val="false"/>
          <w:smallCaps w:val="false"/>
          <w:color w:val="333333"/>
          <w:spacing w:val="0"/>
          <w:sz w:val="22"/>
          <w:szCs w:val="22"/>
        </w:rPr>
        <w:t>i zamontowaną istniejącą pompą głębinową</w:t>
      </w:r>
      <w:r>
        <w:rPr>
          <w:rFonts w:eastAsia="" w:cs="" w:ascii="ISOCPEUR" w:hAnsi="ISOCPEUR"/>
          <w:b w:val="false"/>
          <w:bCs/>
          <w:i w:val="false"/>
          <w:caps w:val="false"/>
          <w:smallCaps w:val="false"/>
          <w:color w:val="333333"/>
          <w:spacing w:val="0"/>
          <w:sz w:val="22"/>
          <w:szCs w:val="22"/>
        </w:rPr>
        <w:t xml:space="preserve">. Przyjęto zastosowanie następującego układu technologicznego: </w:t>
      </w:r>
    </w:p>
    <w:p>
      <w:pPr>
        <w:pStyle w:val="Tretekstu"/>
        <w:widowControl/>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bCs/>
          <w:i w:val="false"/>
          <w:caps w:val="false"/>
          <w:smallCaps w:val="false"/>
          <w:color w:val="333333"/>
          <w:spacing w:val="0"/>
          <w:sz w:val="22"/>
          <w:szCs w:val="22"/>
        </w:rPr>
        <w:t>1. Pompowanie – istniejąca pompa głębinowa wyposażona w falownik (poza opracowaniem)</w:t>
      </w:r>
    </w:p>
    <w:p>
      <w:pPr>
        <w:pStyle w:val="Tretekstu"/>
        <w:widowControl/>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bCs/>
          <w:i w:val="false"/>
          <w:caps w:val="false"/>
          <w:smallCaps w:val="false"/>
          <w:color w:val="333333"/>
          <w:spacing w:val="0"/>
          <w:sz w:val="22"/>
          <w:szCs w:val="22"/>
        </w:rPr>
        <w:t>2. Aeracja ciśnieniowa – napowietrzanie w aeratorze ciśnieniowym,</w:t>
      </w:r>
    </w:p>
    <w:p>
      <w:pPr>
        <w:pStyle w:val="Tretekstu"/>
        <w:widowControl/>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bCs/>
          <w:i w:val="false"/>
          <w:caps w:val="false"/>
          <w:smallCaps w:val="false"/>
          <w:color w:val="333333"/>
          <w:spacing w:val="0"/>
          <w:sz w:val="22"/>
          <w:szCs w:val="22"/>
        </w:rPr>
        <w:t xml:space="preserve">3. Filtracja </w:t>
      </w:r>
      <w:r>
        <w:rPr>
          <w:rFonts w:eastAsia="" w:cs="" w:ascii="ISOCPEUR" w:hAnsi="ISOCPEUR"/>
          <w:b w:val="false"/>
          <w:bCs/>
          <w:i w:val="false"/>
          <w:caps w:val="false"/>
          <w:smallCaps w:val="false"/>
          <w:color w:val="333333"/>
          <w:spacing w:val="0"/>
          <w:kern w:val="2"/>
          <w:sz w:val="22"/>
          <w:szCs w:val="22"/>
          <w:lang w:val="pl-PL" w:eastAsia="ar-SA" w:bidi="ar-SA"/>
        </w:rPr>
        <w:t>ciśnieniowa</w:t>
      </w:r>
      <w:r>
        <w:rPr>
          <w:rFonts w:eastAsia="" w:cs="" w:ascii="ISOCPEUR" w:hAnsi="ISOCPEUR"/>
          <w:b w:val="false"/>
          <w:bCs/>
          <w:i w:val="false"/>
          <w:caps w:val="false"/>
          <w:smallCaps w:val="false"/>
          <w:color w:val="333333"/>
          <w:spacing w:val="0"/>
          <w:sz w:val="22"/>
          <w:szCs w:val="22"/>
        </w:rPr>
        <w:t xml:space="preserve"> – odżelazianie na złożu kwarcowym i katalitycznym </w:t>
      </w:r>
      <w:r>
        <w:rPr>
          <w:rFonts w:eastAsia="" w:cs="" w:ascii="ISOCPEUR" w:hAnsi="ISOCPEUR"/>
          <w:b w:val="false"/>
          <w:bCs/>
          <w:i w:val="false"/>
          <w:caps w:val="false"/>
          <w:smallCaps w:val="false"/>
          <w:color w:val="333333"/>
          <w:spacing w:val="0"/>
          <w:sz w:val="22"/>
          <w:szCs w:val="22"/>
        </w:rPr>
        <w:t>4 filtrów kompozytowych</w:t>
      </w:r>
      <w:r>
        <w:rPr>
          <w:rFonts w:eastAsia="" w:cs="" w:ascii="ISOCPEUR" w:hAnsi="ISOCPEUR"/>
          <w:b w:val="false"/>
          <w:bCs/>
          <w:i w:val="false"/>
          <w:caps w:val="false"/>
          <w:smallCaps w:val="false"/>
          <w:color w:val="333333"/>
          <w:spacing w:val="0"/>
          <w:sz w:val="22"/>
          <w:szCs w:val="22"/>
        </w:rPr>
        <w:t>,</w:t>
      </w:r>
    </w:p>
    <w:p>
      <w:pPr>
        <w:pStyle w:val="Tretekstu"/>
        <w:widowControl/>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bCs/>
          <w:i w:val="false"/>
          <w:caps w:val="false"/>
          <w:smallCaps w:val="false"/>
          <w:color w:val="333333"/>
          <w:spacing w:val="0"/>
          <w:sz w:val="22"/>
          <w:szCs w:val="22"/>
        </w:rPr>
        <w:t>4. Dezynfekcja i S</w:t>
      </w:r>
      <w:r>
        <w:rPr>
          <w:rFonts w:eastAsia="" w:cs="" w:ascii="ISOCPEUR" w:hAnsi="ISOCPEUR"/>
          <w:b w:val="false"/>
          <w:bCs/>
          <w:i w:val="false"/>
          <w:caps w:val="false"/>
          <w:smallCaps w:val="false"/>
          <w:color w:val="333333"/>
          <w:spacing w:val="0"/>
          <w:kern w:val="2"/>
          <w:sz w:val="22"/>
          <w:szCs w:val="22"/>
          <w:lang w:val="pl-PL" w:eastAsia="ar-SA" w:bidi="ar-SA"/>
        </w:rPr>
        <w:t>terylizacja UV,</w:t>
      </w:r>
    </w:p>
    <w:p>
      <w:pPr>
        <w:pStyle w:val="Nagwek3"/>
        <w:spacing w:lineRule="auto" w:line="360"/>
        <w:rPr>
          <w:rFonts w:ascii="ISOCPEUR" w:hAnsi="ISOCPEUR" w:eastAsia="" w:cs="" w:cstheme="majorBidi" w:eastAsiaTheme="majorEastAsia"/>
          <w:b/>
          <w:b/>
          <w:bCs/>
          <w:smallCaps/>
          <w:color w:val="000000" w:themeColor="text1"/>
          <w:kern w:val="0"/>
          <w:sz w:val="22"/>
          <w:szCs w:val="22"/>
          <w:lang w:val="pl-PL" w:eastAsia="en-US" w:bidi="ar-SA"/>
        </w:rPr>
      </w:pPr>
      <w:bookmarkStart w:id="55" w:name="__RefHeading___Toc6630_1471982776"/>
      <w:bookmarkEnd w:id="55"/>
      <w:r>
        <w:rPr>
          <w:rFonts w:eastAsia="" w:cs="" w:ascii="ISOCPEUR" w:hAnsi="ISOCPEUR" w:cstheme="majorBidi" w:eastAsiaTheme="majorEastAsia"/>
          <w:b/>
          <w:bCs/>
          <w:smallCaps/>
          <w:color w:val="000000" w:themeColor="text1"/>
          <w:kern w:val="0"/>
          <w:sz w:val="22"/>
          <w:szCs w:val="22"/>
          <w:lang w:val="pl-PL" w:eastAsia="en-US" w:bidi="ar-SA"/>
        </w:rPr>
        <w:t>AERACJA CIŚNIENIOWA – NAPOWIETRZANIE WODY SUROWEJ</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W pierwszej kolejności woda surowa poddana zostanie procesowi intensywnego napowietrzania w centralnym zestawie napowietrzającym. W wyniku napowietrzania nastąpi utlenienie znajdujących się w wodzie związków żelaza i manganu oraz usunięcie części zawartych w wodzie związków gazowych. Przyjęto ciśnieniowy system napowietrzania wody ze złożem z pierścieniami oraz wymuszonym przepływem powietrza. W celu eliminacji mgły pochodzącej z powietrza kierowanego do procesu napowietrzania należy zamontować mechaniczne automatyczne filtry oraz odwadniacze. </w:t>
        <w:br/>
        <w:t xml:space="preserve">Dla natężenia przepływu Q = </w:t>
      </w:r>
      <w:r>
        <w:rPr>
          <w:rFonts w:ascii="ISOCPEUR" w:hAnsi="ISOCPEUR"/>
          <w:b w:val="false"/>
          <w:i w:val="false"/>
          <w:caps w:val="false"/>
          <w:smallCaps w:val="false"/>
          <w:color w:val="333333"/>
          <w:spacing w:val="0"/>
          <w:sz w:val="22"/>
          <w:szCs w:val="22"/>
        </w:rPr>
        <w:t>4</w:t>
      </w:r>
      <w:r>
        <w:rPr>
          <w:rFonts w:eastAsia="" w:cs="" w:ascii="ISOCPEUR" w:hAnsi="ISOCPEUR"/>
          <w:b w:val="false"/>
          <w:i w:val="false"/>
          <w:caps w:val="false"/>
          <w:smallCaps w:val="false"/>
          <w:color w:val="333333"/>
          <w:spacing w:val="0"/>
          <w:kern w:val="0"/>
          <w:sz w:val="22"/>
          <w:szCs w:val="22"/>
          <w:lang w:val="pl-PL" w:eastAsia="en-US" w:bidi="ar-SA"/>
        </w:rPr>
        <w:t>7,00</w:t>
      </w:r>
      <w:r>
        <w:rPr>
          <w:rFonts w:ascii="ISOCPEUR" w:hAnsi="ISOCPEUR"/>
          <w:b w:val="false"/>
          <w:i w:val="false"/>
          <w:caps w:val="false"/>
          <w:smallCaps w:val="false"/>
          <w:color w:val="333333"/>
          <w:spacing w:val="0"/>
          <w:sz w:val="22"/>
          <w:szCs w:val="22"/>
        </w:rPr>
        <w:t xml:space="preserve"> m3/h projektuje się czas kontaktu, co najmniej 180 sekund. Ilość powietrza niezbędna do aeracji wynosi 10% natężenia przepływu wody. Wymagana objętość zestawu napowietrzającego wyniesie:</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V= Q * t = (</w:t>
      </w:r>
      <w:r>
        <w:rPr>
          <w:rFonts w:ascii="ISOCPEUR" w:hAnsi="ISOCPEUR"/>
          <w:b w:val="false"/>
          <w:i w:val="false"/>
          <w:caps w:val="false"/>
          <w:smallCaps w:val="false"/>
          <w:color w:val="333333"/>
          <w:spacing w:val="0"/>
          <w:sz w:val="22"/>
          <w:szCs w:val="22"/>
        </w:rPr>
        <w:t>4</w:t>
      </w:r>
      <w:r>
        <w:rPr>
          <w:rFonts w:eastAsia="" w:cs="" w:ascii="ISOCPEUR" w:hAnsi="ISOCPEUR"/>
          <w:b w:val="false"/>
          <w:i w:val="false"/>
          <w:caps w:val="false"/>
          <w:smallCaps w:val="false"/>
          <w:color w:val="333333"/>
          <w:spacing w:val="0"/>
          <w:kern w:val="0"/>
          <w:sz w:val="22"/>
          <w:szCs w:val="22"/>
          <w:lang w:val="pl-PL" w:eastAsia="en-US" w:bidi="ar-SA"/>
        </w:rPr>
        <w:t>7,00</w:t>
      </w:r>
      <w:r>
        <w:rPr>
          <w:rFonts w:ascii="ISOCPEUR" w:hAnsi="ISOCPEUR"/>
          <w:b w:val="false"/>
          <w:i w:val="false"/>
          <w:caps w:val="false"/>
          <w:smallCaps w:val="false"/>
          <w:color w:val="333333"/>
          <w:spacing w:val="0"/>
          <w:sz w:val="22"/>
          <w:szCs w:val="22"/>
        </w:rPr>
        <w:t xml:space="preserve">/3600)* 180sek. = </w:t>
      </w:r>
      <w:r>
        <w:rPr>
          <w:rFonts w:ascii="ISOCPEUR" w:hAnsi="ISOCPEUR"/>
          <w:b w:val="false"/>
          <w:i w:val="false"/>
          <w:caps w:val="false"/>
          <w:smallCaps w:val="false"/>
          <w:color w:val="333333"/>
          <w:spacing w:val="0"/>
          <w:sz w:val="22"/>
          <w:szCs w:val="22"/>
        </w:rPr>
        <w:t>2</w:t>
      </w:r>
      <w:r>
        <w:rPr>
          <w:rFonts w:ascii="ISOCPEUR" w:hAnsi="ISOCPEUR"/>
          <w:b w:val="false"/>
          <w:i w:val="false"/>
          <w:caps w:val="false"/>
          <w:smallCaps w:val="false"/>
          <w:color w:val="333333"/>
          <w:spacing w:val="0"/>
          <w:sz w:val="22"/>
          <w:szCs w:val="22"/>
        </w:rPr>
        <w:t>,</w:t>
      </w:r>
      <w:r>
        <w:rPr>
          <w:rFonts w:ascii="ISOCPEUR" w:hAnsi="ISOCPEUR"/>
          <w:b w:val="false"/>
          <w:i w:val="false"/>
          <w:caps w:val="false"/>
          <w:smallCaps w:val="false"/>
          <w:color w:val="333333"/>
          <w:spacing w:val="0"/>
          <w:sz w:val="22"/>
          <w:szCs w:val="22"/>
        </w:rPr>
        <w:t>3</w:t>
      </w:r>
      <w:r>
        <w:rPr>
          <w:rFonts w:eastAsia="" w:cs="" w:ascii="ISOCPEUR" w:hAnsi="ISOCPEUR"/>
          <w:b w:val="false"/>
          <w:i w:val="false"/>
          <w:caps w:val="false"/>
          <w:smallCaps w:val="false"/>
          <w:color w:val="333333"/>
          <w:spacing w:val="0"/>
          <w:kern w:val="0"/>
          <w:sz w:val="22"/>
          <w:szCs w:val="22"/>
          <w:lang w:val="pl-PL" w:eastAsia="en-US" w:bidi="ar-SA"/>
        </w:rPr>
        <w:t>5</w:t>
      </w:r>
      <w:r>
        <w:rPr>
          <w:rFonts w:ascii="ISOCPEUR" w:hAnsi="ISOCPEUR"/>
          <w:b w:val="false"/>
          <w:i w:val="false"/>
          <w:caps w:val="false"/>
          <w:smallCaps w:val="false"/>
          <w:color w:val="333333"/>
          <w:spacing w:val="0"/>
          <w:sz w:val="22"/>
          <w:szCs w:val="22"/>
        </w:rPr>
        <w:t xml:space="preserve"> m2</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Proces napowietrzania przebiegał będzie w zestawie napowietrzającym o średnicy Dn=</w:t>
      </w:r>
      <w:r>
        <w:rPr>
          <w:rFonts w:eastAsia="" w:cs="" w:ascii="ISOCPEUR" w:hAnsi="ISOCPEUR"/>
          <w:b w:val="false"/>
          <w:i w:val="false"/>
          <w:caps w:val="false"/>
          <w:smallCaps w:val="false"/>
          <w:color w:val="333333"/>
          <w:spacing w:val="0"/>
          <w:kern w:val="0"/>
          <w:sz w:val="22"/>
          <w:szCs w:val="22"/>
          <w:lang w:val="pl-PL" w:eastAsia="en-US" w:bidi="ar-SA"/>
        </w:rPr>
        <w:t>5</w:t>
      </w:r>
      <w:r>
        <w:rPr>
          <w:rFonts w:ascii="ISOCPEUR" w:hAnsi="ISOCPEUR"/>
          <w:b w:val="false"/>
          <w:i w:val="false"/>
          <w:caps w:val="false"/>
          <w:smallCaps w:val="false"/>
          <w:color w:val="333333"/>
          <w:spacing w:val="0"/>
          <w:sz w:val="22"/>
          <w:szCs w:val="22"/>
        </w:rPr>
        <w:t>00 mm i objętości V=</w:t>
      </w:r>
      <w:r>
        <w:rPr>
          <w:rFonts w:eastAsia="" w:cs="" w:ascii="ISOCPEUR" w:hAnsi="ISOCPEUR"/>
          <w:b w:val="false"/>
          <w:i w:val="false"/>
          <w:caps w:val="false"/>
          <w:smallCaps w:val="false"/>
          <w:color w:val="333333"/>
          <w:spacing w:val="0"/>
          <w:kern w:val="0"/>
          <w:sz w:val="22"/>
          <w:szCs w:val="22"/>
          <w:lang w:val="pl-PL" w:eastAsia="en-US" w:bidi="ar-SA"/>
        </w:rPr>
        <w:t>0,30</w:t>
      </w:r>
      <w:r>
        <w:rPr>
          <w:rFonts w:ascii="ISOCPEUR" w:hAnsi="ISOCPEUR"/>
          <w:b w:val="false"/>
          <w:i w:val="false"/>
          <w:caps w:val="false"/>
          <w:smallCaps w:val="false"/>
          <w:color w:val="333333"/>
          <w:spacing w:val="0"/>
          <w:sz w:val="22"/>
          <w:szCs w:val="22"/>
        </w:rPr>
        <w:t>m3.</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Zestaw napowietrzający DN</w:t>
      </w:r>
      <w:r>
        <w:rPr>
          <w:rFonts w:ascii="ISOCPEUR" w:hAnsi="ISOCPEUR"/>
          <w:b w:val="false"/>
          <w:i w:val="false"/>
          <w:caps w:val="false"/>
          <w:smallCaps w:val="false"/>
          <w:color w:val="333333"/>
          <w:spacing w:val="0"/>
          <w:sz w:val="22"/>
          <w:szCs w:val="22"/>
        </w:rPr>
        <w:t>5</w:t>
      </w:r>
      <w:r>
        <w:rPr>
          <w:rFonts w:ascii="ISOCPEUR" w:hAnsi="ISOCPEUR"/>
          <w:b w:val="false"/>
          <w:i w:val="false"/>
          <w:caps w:val="false"/>
          <w:smallCaps w:val="false"/>
          <w:color w:val="333333"/>
          <w:spacing w:val="0"/>
          <w:sz w:val="22"/>
          <w:szCs w:val="22"/>
        </w:rPr>
        <w:t xml:space="preserve">00 składa się z następujących elementów: </w:t>
        <w:br/>
        <w:t>- aeratora ciśnieniowego z stali czarnej średnicy D=</w:t>
      </w:r>
      <w:r>
        <w:rPr>
          <w:rFonts w:eastAsia="" w:cs="" w:ascii="ISOCPEUR" w:hAnsi="ISOCPEUR"/>
          <w:b w:val="false"/>
          <w:i w:val="false"/>
          <w:caps w:val="false"/>
          <w:smallCaps w:val="false"/>
          <w:color w:val="333333"/>
          <w:spacing w:val="0"/>
          <w:kern w:val="0"/>
          <w:sz w:val="22"/>
          <w:szCs w:val="22"/>
          <w:lang w:val="pl-PL" w:eastAsia="en-US" w:bidi="ar-SA"/>
        </w:rPr>
        <w:t>5</w:t>
      </w:r>
      <w:r>
        <w:rPr>
          <w:rFonts w:ascii="ISOCPEUR" w:hAnsi="ISOCPEUR"/>
          <w:b w:val="false"/>
          <w:i w:val="false"/>
          <w:caps w:val="false"/>
          <w:smallCaps w:val="false"/>
          <w:color w:val="333333"/>
          <w:spacing w:val="0"/>
          <w:sz w:val="22"/>
          <w:szCs w:val="22"/>
        </w:rPr>
        <w:t xml:space="preserve">00 mm, </w:t>
        <w:br/>
        <w:t xml:space="preserve">- powłoka zewnętrzna i wewnętrzna EPX1 </w:t>
        <w:br/>
        <w:t>- powłoka EPX1 jest dwuskładnikową bezrozpuszczalnikową, bezszwową (nie zawiera substancji lotnych) powłoką wysokiej jakości stosowana na powierzchnie stalowe Typ EPX1/ Ral 5015, grubości 1000 mikrometrów. Powłoka nakładana natryskowo elastomerem polimocznikowym, przy ciśnieniu min 150-200 BAR utwardzana chemicznie i termicznie ( spełnione oba warunki) powłoka nie utlenia się powłoka odporna na zarysowania, elastyczna i sprężysta EPX1 jest, trudnościeralnym pokryciem o strukturze drobno porowatej odpornym na agresywne substancje chemiczne np: rozcieńczone ługi, kwasy, alkohol, detergenty, paliwa i inne ropopochodne.</w:t>
        <w:br/>
        <w:t xml:space="preserve">Powierzchnie stalowe powinny być odtłuszczone i oczyszczone mechanicznie. Powłoka ma tworzyć jednolitą, monolityczną warstwę, szczelną i dobrze przylegającą do podłoża tworząc membranę izolacyjną ( nie dopuszcza się wykonania urządzeń z miejscami niedostępnymi dla prawidłowego wykonania powłoki np: wycięcia okienek na nogach, montaż tabliczek producenta). </w:t>
        <w:br/>
        <w:t xml:space="preserve">Właściwości fizyczne powłoki: </w:t>
        <w:br/>
        <w:t xml:space="preserve">- wytrzymałość na rozciąganie po 24h min. 16 MPa EN ISO 527 </w:t>
        <w:br/>
        <w:t xml:space="preserve">- wydłużenie przy zerwaniu po 24h min. 400 % EN ISO 527 </w:t>
        <w:br/>
        <w:t xml:space="preserve">- wytrzymałość na rozciąganie (min) 22 MPa EN ISO 527 </w:t>
        <w:br/>
        <w:t xml:space="preserve">- wydłużenie przy zerwaniu(min) 450% EN ISO 527 </w:t>
        <w:br/>
        <w:t xml:space="preserve">- przyczepność do stali powyżej 5 MPa EN ISO 4624 </w:t>
        <w:br/>
        <w:t xml:space="preserve">- twardość Shore'a 96A, 45D EN ISO 868 </w:t>
        <w:br/>
        <w:t>- ścieralność (indeks Tabera, 1000g/1000 cykli, koła H22) poniżej 100mg EN ISO 5470-1</w:t>
        <w:br/>
        <w:t xml:space="preserve">- mostkowanie rys (-20°C) Klasa A5 (&gt;2.5 mm) EN 1062-7 </w:t>
        <w:br/>
        <w:t>- nasiąkliwość wodą (7 dni) do 2%</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 xml:space="preserve">Wykonanie aeratora: okna w nogach, mocowanie elementów zewnętrznych zapewniające prawidłowe wykonanie powłok, właz na windzie, części ruchome, pokrywy włazów cynkowane, wziernik 150 mm cynkowany. Odpowietrznik ze stali nierdzewnej, 1 właz boczny rewizyjny z windą, złoże w postaci pierścieni VSP, przepustnice w obudowie epoksydowanej GGG50 z napędami ręcznymi, </w:t>
        <w:br/>
        <w:t xml:space="preserve">Przewody – rury i kształtki ze stali 304/304L; kołnierze ze stali 304/304L; śruby, podkładki, nakrętki: ze stali 304/304L, </w:t>
        <w:br/>
        <w:t xml:space="preserve">Konstrukcja wsporcza ze stali gat. 304/304L wraz z obejmami ze stali nierdzewnej </w:t>
      </w:r>
      <w:r>
        <w:rPr>
          <w:rFonts w:eastAsia="" w:cs="" w:ascii="ISOCPEUR" w:hAnsi="ISOCPEUR"/>
          <w:b w:val="false"/>
          <w:i w:val="false"/>
          <w:caps w:val="false"/>
          <w:smallCaps w:val="false"/>
          <w:color w:val="333333"/>
          <w:spacing w:val="0"/>
          <w:kern w:val="0"/>
          <w:sz w:val="22"/>
          <w:szCs w:val="22"/>
          <w:lang w:val="pl-PL" w:eastAsia="en-US" w:bidi="ar-SA"/>
        </w:rPr>
        <w:t>gat.</w:t>
      </w:r>
      <w:r>
        <w:rPr>
          <w:rFonts w:ascii="ISOCPEUR" w:hAnsi="ISOCPEUR"/>
          <w:b w:val="false"/>
          <w:i w:val="false"/>
          <w:caps w:val="false"/>
          <w:smallCaps w:val="false"/>
          <w:color w:val="333333"/>
          <w:spacing w:val="0"/>
          <w:sz w:val="22"/>
          <w:szCs w:val="22"/>
        </w:rPr>
        <w:t xml:space="preserve"> 304/304L. Niezbędn</w:t>
      </w:r>
      <w:r>
        <w:rPr>
          <w:rFonts w:eastAsia="" w:cs="" w:ascii="ISOCPEUR" w:hAnsi="ISOCPEUR"/>
          <w:b w:val="false"/>
          <w:i w:val="false"/>
          <w:caps w:val="false"/>
          <w:smallCaps w:val="false"/>
          <w:color w:val="333333"/>
          <w:spacing w:val="0"/>
          <w:kern w:val="0"/>
          <w:sz w:val="22"/>
          <w:szCs w:val="22"/>
          <w:lang w:val="pl-PL" w:eastAsia="en-US" w:bidi="ar-SA"/>
        </w:rPr>
        <w:t>e</w:t>
      </w:r>
      <w:r>
        <w:rPr>
          <w:rFonts w:ascii="ISOCPEUR" w:hAnsi="ISOCPEUR"/>
          <w:b w:val="false"/>
          <w:i w:val="false"/>
          <w:caps w:val="false"/>
          <w:smallCaps w:val="false"/>
          <w:color w:val="333333"/>
          <w:spacing w:val="0"/>
          <w:sz w:val="22"/>
          <w:szCs w:val="22"/>
        </w:rPr>
        <w:t xml:space="preserve"> przewody elastyczne, manometr, zawór bezpieczeństwa, zawory czerpalne. </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Zalecana ilość powietrza doprowadzanego do zestawu napowietrzającego wynosi 10% natężenia przepływu wody tj. 10%*</w:t>
      </w:r>
      <w:r>
        <w:rPr>
          <w:rFonts w:ascii="ISOCPEUR" w:hAnsi="ISOCPEUR"/>
          <w:b w:val="false"/>
          <w:i w:val="false"/>
          <w:caps w:val="false"/>
          <w:smallCaps w:val="false"/>
          <w:color w:val="333333"/>
          <w:spacing w:val="0"/>
          <w:sz w:val="22"/>
          <w:szCs w:val="22"/>
        </w:rPr>
        <w:t>4</w:t>
      </w:r>
      <w:r>
        <w:rPr>
          <w:rFonts w:eastAsia="" w:cs="" w:ascii="ISOCPEUR" w:hAnsi="ISOCPEUR"/>
          <w:b w:val="false"/>
          <w:i w:val="false"/>
          <w:caps w:val="false"/>
          <w:smallCaps w:val="false"/>
          <w:color w:val="333333"/>
          <w:spacing w:val="0"/>
          <w:kern w:val="0"/>
          <w:sz w:val="22"/>
          <w:szCs w:val="22"/>
          <w:lang w:val="pl-PL" w:eastAsia="en-US" w:bidi="ar-SA"/>
        </w:rPr>
        <w:t>7</w:t>
      </w:r>
      <w:r>
        <w:rPr>
          <w:rFonts w:ascii="ISOCPEUR" w:hAnsi="ISOCPEUR"/>
          <w:b w:val="false"/>
          <w:i w:val="false"/>
          <w:caps w:val="false"/>
          <w:smallCaps w:val="false"/>
          <w:color w:val="333333"/>
          <w:spacing w:val="0"/>
          <w:sz w:val="22"/>
          <w:szCs w:val="22"/>
        </w:rPr>
        <w:t>,</w:t>
      </w:r>
      <w:r>
        <w:rPr>
          <w:rFonts w:eastAsia="" w:cs="" w:ascii="ISOCPEUR" w:hAnsi="ISOCPEUR"/>
          <w:b w:val="false"/>
          <w:i w:val="false"/>
          <w:caps w:val="false"/>
          <w:smallCaps w:val="false"/>
          <w:color w:val="333333"/>
          <w:spacing w:val="0"/>
          <w:kern w:val="0"/>
          <w:sz w:val="22"/>
          <w:szCs w:val="22"/>
          <w:lang w:val="pl-PL" w:eastAsia="en-US" w:bidi="ar-SA"/>
        </w:rPr>
        <w:t>00</w:t>
      </w:r>
      <w:r>
        <w:rPr>
          <w:rFonts w:ascii="ISOCPEUR" w:hAnsi="ISOCPEUR"/>
          <w:b w:val="false"/>
          <w:i w:val="false"/>
          <w:caps w:val="false"/>
          <w:smallCaps w:val="false"/>
          <w:color w:val="333333"/>
          <w:spacing w:val="0"/>
          <w:sz w:val="22"/>
          <w:szCs w:val="22"/>
        </w:rPr>
        <w:t xml:space="preserve"> = </w:t>
      </w:r>
      <w:r>
        <w:rPr>
          <w:rFonts w:eastAsia="" w:cs="" w:ascii="ISOCPEUR" w:hAnsi="ISOCPEUR"/>
          <w:b w:val="false"/>
          <w:i w:val="false"/>
          <w:caps w:val="false"/>
          <w:smallCaps w:val="false"/>
          <w:color w:val="333333"/>
          <w:spacing w:val="0"/>
          <w:kern w:val="0"/>
          <w:sz w:val="22"/>
          <w:szCs w:val="22"/>
          <w:lang w:val="pl-PL" w:eastAsia="en-US" w:bidi="ar-SA"/>
        </w:rPr>
        <w:t>4</w:t>
      </w:r>
      <w:r>
        <w:rPr>
          <w:rFonts w:ascii="ISOCPEUR" w:hAnsi="ISOCPEUR"/>
          <w:b w:val="false"/>
          <w:i w:val="false"/>
          <w:caps w:val="false"/>
          <w:smallCaps w:val="false"/>
          <w:color w:val="333333"/>
          <w:spacing w:val="0"/>
          <w:sz w:val="22"/>
          <w:szCs w:val="22"/>
        </w:rPr>
        <w:t xml:space="preserve">,7 m3/h. W oparciu o powyższe dobrano sprężarkę </w:t>
      </w:r>
      <w:r>
        <w:rPr>
          <w:rFonts w:eastAsia="" w:cs="" w:ascii="ISOCPEUR" w:hAnsi="ISOCPEUR"/>
          <w:b w:val="false"/>
          <w:i w:val="false"/>
          <w:caps w:val="false"/>
          <w:smallCaps w:val="false"/>
          <w:color w:val="333333"/>
          <w:spacing w:val="0"/>
          <w:kern w:val="0"/>
          <w:sz w:val="22"/>
          <w:szCs w:val="22"/>
          <w:lang w:val="pl-PL" w:eastAsia="en-US" w:bidi="ar-SA"/>
        </w:rPr>
        <w:t>bezolejową tłokową</w:t>
      </w:r>
      <w:r>
        <w:rPr>
          <w:rFonts w:ascii="ISOCPEUR" w:hAnsi="ISOCPEUR"/>
          <w:b w:val="false"/>
          <w:i w:val="false"/>
          <w:caps w:val="false"/>
          <w:smallCaps w:val="false"/>
          <w:color w:val="333333"/>
          <w:spacing w:val="0"/>
          <w:sz w:val="22"/>
          <w:szCs w:val="22"/>
        </w:rPr>
        <w:t xml:space="preserve"> w wersji </w:t>
      </w:r>
      <w:r>
        <w:rPr>
          <w:rFonts w:eastAsia="" w:cs="" w:ascii="ISOCPEUR" w:hAnsi="ISOCPEUR"/>
          <w:b w:val="false"/>
          <w:i w:val="false"/>
          <w:caps w:val="false"/>
          <w:smallCaps w:val="false"/>
          <w:color w:val="333333"/>
          <w:spacing w:val="0"/>
          <w:kern w:val="0"/>
          <w:sz w:val="22"/>
          <w:szCs w:val="22"/>
          <w:lang w:val="pl-PL" w:eastAsia="en-US" w:bidi="ar-SA"/>
        </w:rPr>
        <w:t>poziomej</w:t>
      </w:r>
      <w:r>
        <w:rPr>
          <w:rFonts w:ascii="ISOCPEUR" w:hAnsi="ISOCPEUR"/>
          <w:b w:val="false"/>
          <w:i w:val="false"/>
          <w:caps w:val="false"/>
          <w:smallCaps w:val="false"/>
          <w:color w:val="333333"/>
          <w:spacing w:val="0"/>
          <w:sz w:val="22"/>
          <w:szCs w:val="22"/>
        </w:rPr>
        <w:t xml:space="preserve">, ze zbiornikiem </w:t>
      </w:r>
      <w:r>
        <w:rPr>
          <w:rFonts w:eastAsia="" w:cs="" w:ascii="ISOCPEUR" w:hAnsi="ISOCPEUR"/>
          <w:b w:val="false"/>
          <w:i w:val="false"/>
          <w:caps w:val="false"/>
          <w:smallCaps w:val="false"/>
          <w:color w:val="333333"/>
          <w:spacing w:val="0"/>
          <w:kern w:val="0"/>
          <w:sz w:val="22"/>
          <w:szCs w:val="22"/>
          <w:lang w:val="pl-PL" w:eastAsia="en-US" w:bidi="ar-SA"/>
        </w:rPr>
        <w:t>23</w:t>
      </w:r>
      <w:r>
        <w:rPr>
          <w:rFonts w:ascii="ISOCPEUR" w:hAnsi="ISOCPEUR"/>
          <w:b w:val="false"/>
          <w:i w:val="false"/>
          <w:caps w:val="false"/>
          <w:smallCaps w:val="false"/>
          <w:color w:val="333333"/>
          <w:spacing w:val="0"/>
          <w:sz w:val="22"/>
          <w:szCs w:val="22"/>
        </w:rPr>
        <w:t xml:space="preserve"> l, o poniższych parametrach: </w:t>
      </w:r>
    </w:p>
    <w:p>
      <w:pPr>
        <w:pStyle w:val="Tretekstu"/>
        <w:widowControl/>
        <w:numPr>
          <w:ilvl w:val="0"/>
          <w:numId w:val="0"/>
        </w:numPr>
        <w:suppressAutoHyphens w:val="true"/>
        <w:bidi w:val="0"/>
        <w:spacing w:lineRule="auto" w:line="360" w:before="0" w:after="120"/>
        <w:ind w:left="0" w:right="0" w:hanging="0"/>
        <w:jc w:val="left"/>
        <w:rPr>
          <w:rFonts w:ascii="ISOCPEUR" w:hAnsi="ISOCPEUR"/>
          <w:sz w:val="22"/>
          <w:szCs w:val="22"/>
        </w:rPr>
      </w:pPr>
      <w:r>
        <w:rPr>
          <w:rFonts w:ascii="ISOCPEUR" w:hAnsi="ISOCPEUR"/>
          <w:sz w:val="22"/>
          <w:szCs w:val="22"/>
        </w:rPr>
        <w:t xml:space="preserve">Q = </w:t>
      </w:r>
      <w:r>
        <w:rPr>
          <w:rFonts w:eastAsia="Times New Roman" w:cs="Times New Roman" w:ascii="ISOCPEUR" w:hAnsi="ISOCPEUR"/>
          <w:color w:val="auto"/>
          <w:kern w:val="2"/>
          <w:sz w:val="22"/>
          <w:szCs w:val="22"/>
          <w:lang w:val="pl-PL" w:eastAsia="ar-SA" w:bidi="ar-SA"/>
        </w:rPr>
        <w:t>135</w:t>
      </w:r>
      <w:r>
        <w:rPr>
          <w:rFonts w:ascii="ISOCPEUR" w:hAnsi="ISOCPEUR"/>
          <w:sz w:val="22"/>
          <w:szCs w:val="22"/>
        </w:rPr>
        <w:t xml:space="preserve"> </w:t>
      </w:r>
      <w:r>
        <w:rPr>
          <w:rFonts w:eastAsia="Times New Roman" w:cs="Times New Roman" w:ascii="ISOCPEUR" w:hAnsi="ISOCPEUR"/>
          <w:color w:val="auto"/>
          <w:kern w:val="2"/>
          <w:sz w:val="22"/>
          <w:szCs w:val="22"/>
          <w:lang w:val="pl-PL" w:eastAsia="ar-SA" w:bidi="ar-SA"/>
        </w:rPr>
        <w:t>l</w:t>
      </w:r>
      <w:r>
        <w:rPr>
          <w:rFonts w:ascii="ISOCPEUR" w:hAnsi="ISOCPEUR"/>
          <w:sz w:val="22"/>
          <w:szCs w:val="22"/>
        </w:rPr>
        <w:t xml:space="preserve">/min., </w:t>
        <w:br/>
        <w:t xml:space="preserve">pmax = 1,0 MPa, </w:t>
        <w:br/>
        <w:t xml:space="preserve">Pel. = 1,5 kW, </w:t>
        <w:br/>
        <w:t xml:space="preserve">waga - 180kg </w:t>
      </w:r>
    </w:p>
    <w:p>
      <w:pPr>
        <w:pStyle w:val="Tretekstu"/>
        <w:widowControl/>
        <w:numPr>
          <w:ilvl w:val="0"/>
          <w:numId w:val="0"/>
        </w:numPr>
        <w:suppressAutoHyphens w:val="true"/>
        <w:bidi w:val="0"/>
        <w:spacing w:lineRule="auto" w:line="360" w:before="0" w:after="120"/>
        <w:ind w:left="0" w:right="0" w:hanging="0"/>
        <w:jc w:val="left"/>
        <w:rPr>
          <w:rFonts w:ascii="ISOCPEUR" w:hAnsi="ISOCPEUR"/>
          <w:sz w:val="22"/>
          <w:szCs w:val="22"/>
        </w:rPr>
      </w:pPr>
      <w:r>
        <w:rPr>
          <w:rFonts w:ascii="ISOCPEUR" w:hAnsi="ISOCPEUR"/>
          <w:sz w:val="22"/>
          <w:szCs w:val="22"/>
        </w:rPr>
        <w:t xml:space="preserve">Orurowanie zestawu i system rozprowadzania powietrza wieloramienny wykonać ze stali 1.4301, przepustnice z dyskami ze stali nierdzewnej w obudowie epoksydowanej GGG50 z napędami </w:t>
      </w:r>
      <w:r>
        <w:rPr>
          <w:rFonts w:eastAsia="Times New Roman" w:cs="Times New Roman" w:ascii="ISOCPEUR" w:hAnsi="ISOCPEUR"/>
          <w:color w:val="auto"/>
          <w:kern w:val="2"/>
          <w:sz w:val="22"/>
          <w:szCs w:val="22"/>
          <w:lang w:val="pl-PL" w:eastAsia="ar-SA" w:bidi="ar-SA"/>
        </w:rPr>
        <w:t>ręcznymi</w:t>
      </w:r>
      <w:r>
        <w:rPr>
          <w:rFonts w:ascii="ISOCPEUR" w:hAnsi="ISOCPEUR"/>
          <w:sz w:val="22"/>
          <w:szCs w:val="22"/>
        </w:rPr>
        <w:t xml:space="preserve">. Układ napowietrzający musi posiadać atest PZH na kompletne urządzenie. </w:t>
      </w:r>
    </w:p>
    <w:p>
      <w:pPr>
        <w:pStyle w:val="Nagwek3"/>
        <w:spacing w:lineRule="auto" w:line="360"/>
        <w:rPr>
          <w:rFonts w:ascii="ISOCPEUR" w:hAnsi="ISOCPEUR" w:eastAsia="" w:cs="" w:cstheme="majorBidi" w:eastAsiaTheme="majorEastAsia"/>
          <w:b/>
          <w:b/>
          <w:bCs/>
          <w:smallCaps/>
          <w:color w:val="000000" w:themeColor="text1"/>
          <w:kern w:val="0"/>
          <w:sz w:val="22"/>
          <w:szCs w:val="22"/>
          <w:lang w:val="pl-PL" w:eastAsia="en-US" w:bidi="ar-SA"/>
        </w:rPr>
      </w:pPr>
      <w:bookmarkStart w:id="56" w:name="__RefHeading___Toc6630_14719827761"/>
      <w:bookmarkEnd w:id="56"/>
      <w:r>
        <w:rPr>
          <w:rFonts w:eastAsia="" w:cs="" w:ascii="ISOCPEUR" w:hAnsi="ISOCPEUR" w:cstheme="majorBidi" w:eastAsiaTheme="majorEastAsia"/>
          <w:b/>
          <w:bCs/>
          <w:smallCaps/>
          <w:color w:val="000000" w:themeColor="text1"/>
          <w:kern w:val="0"/>
          <w:sz w:val="22"/>
          <w:szCs w:val="22"/>
          <w:lang w:val="pl-PL" w:eastAsia="en-US" w:bidi="ar-SA"/>
        </w:rPr>
        <w:t>FILTRACJA CIŚNIENIOWA – ODŻELAZIANIE</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Po procesie napowietrzania woda surowa, poddana zostanie procesowi filtracji pośpiesznej. Przyjmuje się, iż proces filtracji realizowany będzie w oparciu o zespoły filtracyjne </w:t>
      </w:r>
      <w:r>
        <w:rPr>
          <w:rFonts w:eastAsia="" w:cs="" w:ascii="ISOCPEUR" w:hAnsi="ISOCPEUR"/>
          <w:b w:val="false"/>
          <w:i w:val="false"/>
          <w:caps w:val="false"/>
          <w:smallCaps w:val="false"/>
          <w:color w:val="333333"/>
          <w:spacing w:val="0"/>
          <w:kern w:val="0"/>
          <w:sz w:val="22"/>
          <w:szCs w:val="22"/>
          <w:lang w:val="pl-PL" w:eastAsia="en-US" w:bidi="ar-SA"/>
        </w:rPr>
        <w:t>w butlach kompozytowych o średnicy Dn625mm</w:t>
      </w:r>
      <w:r>
        <w:rPr>
          <w:rFonts w:ascii="ISOCPEUR" w:hAnsi="ISOCPEUR"/>
          <w:b w:val="false"/>
          <w:i w:val="false"/>
          <w:caps w:val="false"/>
          <w:smallCaps w:val="false"/>
          <w:color w:val="333333"/>
          <w:spacing w:val="0"/>
          <w:sz w:val="22"/>
          <w:szCs w:val="22"/>
        </w:rPr>
        <w:t xml:space="preserve"> ze złożem mieszanym. Efektem procesu będzie zatrzymanie na złożu filtracyjnym wytrąconych z wody części wodorotlenków żelaza i manganu, obniżenie poziomu barwy </w:t>
      </w:r>
      <w:r>
        <w:rPr>
          <w:rFonts w:eastAsia="" w:cs="" w:ascii="ISOCPEUR" w:hAnsi="ISOCPEUR"/>
          <w:b w:val="false"/>
          <w:i w:val="false"/>
          <w:caps w:val="false"/>
          <w:smallCaps w:val="false"/>
          <w:color w:val="333333"/>
          <w:spacing w:val="0"/>
          <w:kern w:val="0"/>
          <w:sz w:val="22"/>
          <w:szCs w:val="22"/>
          <w:lang w:val="pl-PL" w:eastAsia="en-US" w:bidi="ar-SA"/>
        </w:rPr>
        <w:t>i</w:t>
      </w:r>
      <w:r>
        <w:rPr>
          <w:rFonts w:ascii="ISOCPEUR" w:hAnsi="ISOCPEUR"/>
          <w:b w:val="false"/>
          <w:i w:val="false"/>
          <w:caps w:val="false"/>
          <w:smallCaps w:val="false"/>
          <w:color w:val="333333"/>
          <w:spacing w:val="0"/>
          <w:sz w:val="22"/>
          <w:szCs w:val="22"/>
        </w:rPr>
        <w:t xml:space="preserve"> mętności wody. Wymagana powierzchnia filtracji przy przepływie wody w ilości Q=</w:t>
      </w:r>
      <w:r>
        <w:rPr>
          <w:rFonts w:ascii="ISOCPEUR" w:hAnsi="ISOCPEUR"/>
          <w:b w:val="false"/>
          <w:i w:val="false"/>
          <w:caps w:val="false"/>
          <w:smallCaps w:val="false"/>
          <w:color w:val="333333"/>
          <w:spacing w:val="0"/>
          <w:sz w:val="22"/>
          <w:szCs w:val="22"/>
        </w:rPr>
        <w:t>4</w:t>
      </w:r>
      <w:r>
        <w:rPr>
          <w:rFonts w:eastAsia="" w:cs="" w:ascii="ISOCPEUR" w:hAnsi="ISOCPEUR"/>
          <w:b w:val="false"/>
          <w:i w:val="false"/>
          <w:caps w:val="false"/>
          <w:smallCaps w:val="false"/>
          <w:color w:val="333333"/>
          <w:spacing w:val="0"/>
          <w:kern w:val="0"/>
          <w:sz w:val="22"/>
          <w:szCs w:val="22"/>
          <w:lang w:val="pl-PL" w:eastAsia="en-US" w:bidi="ar-SA"/>
        </w:rPr>
        <w:t>7,0</w:t>
      </w:r>
      <w:r>
        <w:rPr>
          <w:rFonts w:ascii="ISOCPEUR" w:hAnsi="ISOCPEUR"/>
          <w:b w:val="false"/>
          <w:i w:val="false"/>
          <w:caps w:val="false"/>
          <w:smallCaps w:val="false"/>
          <w:color w:val="333333"/>
          <w:spacing w:val="0"/>
          <w:sz w:val="22"/>
          <w:szCs w:val="22"/>
        </w:rPr>
        <w:t xml:space="preserve"> m3/h przy przyjętej prędkości filtracji poniżej 8 m/h wyniesie: </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F= Q/</w:t>
      </w:r>
      <w:r>
        <w:rPr>
          <w:rFonts w:eastAsia="" w:cs="" w:ascii="ISOCPEUR" w:hAnsi="ISOCPEUR"/>
          <w:b w:val="false"/>
          <w:i w:val="false"/>
          <w:caps w:val="false"/>
          <w:smallCaps w:val="false"/>
          <w:color w:val="333333"/>
          <w:spacing w:val="0"/>
          <w:sz w:val="22"/>
          <w:szCs w:val="22"/>
        </w:rPr>
        <w:t xml:space="preserve">ν = </w:t>
      </w:r>
      <w:r>
        <w:rPr>
          <w:rFonts w:eastAsia="" w:cs="" w:ascii="ISOCPEUR" w:hAnsi="ISOCPEUR"/>
          <w:b w:val="false"/>
          <w:i w:val="false"/>
          <w:caps w:val="false"/>
          <w:smallCaps w:val="false"/>
          <w:color w:val="333333"/>
          <w:spacing w:val="0"/>
          <w:kern w:val="0"/>
          <w:sz w:val="22"/>
          <w:szCs w:val="22"/>
          <w:lang w:val="pl-PL" w:eastAsia="en-US" w:bidi="ar-SA"/>
        </w:rPr>
        <w:t>4</w:t>
      </w:r>
      <w:r>
        <w:rPr>
          <w:rFonts w:eastAsia="" w:cs="" w:ascii="ISOCPEUR" w:hAnsi="ISOCPEUR"/>
          <w:b w:val="false"/>
          <w:i w:val="false"/>
          <w:caps w:val="false"/>
          <w:smallCaps w:val="false"/>
          <w:color w:val="333333"/>
          <w:spacing w:val="0"/>
          <w:sz w:val="22"/>
          <w:szCs w:val="22"/>
        </w:rPr>
        <w:t>7,</w:t>
      </w:r>
      <w:r>
        <w:rPr>
          <w:rFonts w:eastAsia="" w:cs="" w:ascii="ISOCPEUR" w:hAnsi="ISOCPEUR"/>
          <w:b w:val="false"/>
          <w:i w:val="false"/>
          <w:caps w:val="false"/>
          <w:smallCaps w:val="false"/>
          <w:color w:val="333333"/>
          <w:spacing w:val="0"/>
          <w:kern w:val="0"/>
          <w:sz w:val="22"/>
          <w:szCs w:val="22"/>
          <w:lang w:val="pl-PL" w:eastAsia="en-US" w:bidi="ar-SA"/>
        </w:rPr>
        <w:t>0</w:t>
      </w:r>
      <w:r>
        <w:rPr>
          <w:rFonts w:eastAsia="" w:cs="" w:ascii="ISOCPEUR" w:hAnsi="ISOCPEUR"/>
          <w:b w:val="false"/>
          <w:i w:val="false"/>
          <w:caps w:val="false"/>
          <w:smallCaps w:val="false"/>
          <w:color w:val="333333"/>
          <w:spacing w:val="0"/>
          <w:sz w:val="22"/>
          <w:szCs w:val="22"/>
        </w:rPr>
        <w:t xml:space="preserve">m3/h / 9m/h = </w:t>
      </w:r>
      <w:r>
        <w:rPr>
          <w:rFonts w:eastAsia="" w:cs="" w:ascii="ISOCPEUR" w:hAnsi="ISOCPEUR"/>
          <w:b w:val="false"/>
          <w:i w:val="false"/>
          <w:caps w:val="false"/>
          <w:smallCaps w:val="false"/>
          <w:color w:val="333333"/>
          <w:spacing w:val="0"/>
          <w:kern w:val="0"/>
          <w:sz w:val="22"/>
          <w:szCs w:val="22"/>
          <w:lang w:val="pl-PL" w:eastAsia="en-US" w:bidi="ar-SA"/>
        </w:rPr>
        <w:t>5</w:t>
      </w:r>
      <w:r>
        <w:rPr>
          <w:rFonts w:eastAsia="" w:cs="" w:ascii="ISOCPEUR" w:hAnsi="ISOCPEUR"/>
          <w:b w:val="false"/>
          <w:i w:val="false"/>
          <w:caps w:val="false"/>
          <w:smallCaps w:val="false"/>
          <w:color w:val="333333"/>
          <w:spacing w:val="0"/>
          <w:sz w:val="22"/>
          <w:szCs w:val="22"/>
        </w:rPr>
        <w:t>,</w:t>
      </w:r>
      <w:r>
        <w:rPr>
          <w:rFonts w:eastAsia="" w:cs="" w:ascii="ISOCPEUR" w:hAnsi="ISOCPEUR"/>
          <w:b w:val="false"/>
          <w:i w:val="false"/>
          <w:caps w:val="false"/>
          <w:smallCaps w:val="false"/>
          <w:color w:val="333333"/>
          <w:spacing w:val="0"/>
          <w:sz w:val="22"/>
          <w:szCs w:val="22"/>
        </w:rPr>
        <w:t>22</w:t>
      </w:r>
      <w:r>
        <w:rPr>
          <w:rFonts w:eastAsia="" w:cs="" w:ascii="ISOCPEUR" w:hAnsi="ISOCPEUR"/>
          <w:b w:val="false"/>
          <w:i w:val="false"/>
          <w:caps w:val="false"/>
          <w:smallCaps w:val="false"/>
          <w:color w:val="333333"/>
          <w:spacing w:val="0"/>
          <w:sz w:val="22"/>
          <w:szCs w:val="22"/>
        </w:rPr>
        <w:t xml:space="preserve"> m2 </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Wymagania te spełniają </w:t>
      </w:r>
      <w:r>
        <w:rPr>
          <w:rFonts w:eastAsia="" w:cs="" w:ascii="ISOCPEUR" w:hAnsi="ISOCPEUR"/>
          <w:b w:val="false"/>
          <w:i w:val="false"/>
          <w:caps w:val="false"/>
          <w:smallCaps w:val="false"/>
          <w:color w:val="333333"/>
          <w:spacing w:val="0"/>
          <w:kern w:val="0"/>
          <w:sz w:val="22"/>
          <w:szCs w:val="22"/>
          <w:lang w:val="pl-PL" w:eastAsia="en-US" w:bidi="ar-SA"/>
        </w:rPr>
        <w:t>trzy</w:t>
      </w:r>
      <w:r>
        <w:rPr>
          <w:rFonts w:ascii="ISOCPEUR" w:hAnsi="ISOCPEUR"/>
          <w:b w:val="false"/>
          <w:i w:val="false"/>
          <w:caps w:val="false"/>
          <w:smallCaps w:val="false"/>
          <w:color w:val="333333"/>
          <w:spacing w:val="0"/>
          <w:sz w:val="22"/>
          <w:szCs w:val="22"/>
        </w:rPr>
        <w:t xml:space="preserve"> filtry o średnicy 1</w:t>
      </w:r>
      <w:r>
        <w:rPr>
          <w:rFonts w:eastAsia="" w:cs="" w:ascii="ISOCPEUR" w:hAnsi="ISOCPEUR"/>
          <w:b w:val="false"/>
          <w:i w:val="false"/>
          <w:caps w:val="false"/>
          <w:smallCaps w:val="false"/>
          <w:color w:val="333333"/>
          <w:spacing w:val="0"/>
          <w:kern w:val="0"/>
          <w:sz w:val="22"/>
          <w:szCs w:val="22"/>
          <w:lang w:val="pl-PL" w:eastAsia="en-US" w:bidi="ar-SA"/>
        </w:rPr>
        <w:t>4</w:t>
      </w:r>
      <w:r>
        <w:rPr>
          <w:rFonts w:ascii="ISOCPEUR" w:hAnsi="ISOCPEUR"/>
          <w:b w:val="false"/>
          <w:i w:val="false"/>
          <w:caps w:val="false"/>
          <w:smallCaps w:val="false"/>
          <w:color w:val="333333"/>
          <w:spacing w:val="0"/>
          <w:sz w:val="22"/>
          <w:szCs w:val="22"/>
        </w:rPr>
        <w:t>00 mm o powierzchni filtracyjnej 1 zespołu wynoszącej F=</w:t>
      </w:r>
      <w:r>
        <w:rPr>
          <w:rFonts w:eastAsia="" w:cs="" w:ascii="ISOCPEUR" w:hAnsi="ISOCPEUR"/>
          <w:b w:val="false"/>
          <w:i w:val="false"/>
          <w:caps w:val="false"/>
          <w:smallCaps w:val="false"/>
          <w:color w:val="333333"/>
          <w:spacing w:val="0"/>
          <w:kern w:val="0"/>
          <w:sz w:val="22"/>
          <w:szCs w:val="22"/>
          <w:lang w:val="pl-PL" w:eastAsia="en-US" w:bidi="ar-SA"/>
        </w:rPr>
        <w:t>1,54</w:t>
      </w:r>
      <w:r>
        <w:rPr>
          <w:rFonts w:ascii="ISOCPEUR" w:hAnsi="ISOCPEUR"/>
          <w:b w:val="false"/>
          <w:i w:val="false"/>
          <w:caps w:val="false"/>
          <w:smallCaps w:val="false"/>
          <w:color w:val="333333"/>
          <w:spacing w:val="0"/>
          <w:sz w:val="22"/>
          <w:szCs w:val="22"/>
        </w:rPr>
        <w:t xml:space="preserve"> m2, natomiast ze względ</w:t>
      </w:r>
      <w:r>
        <w:rPr>
          <w:rFonts w:eastAsia="" w:cs="" w:ascii="ISOCPEUR" w:hAnsi="ISOCPEUR"/>
          <w:b w:val="false"/>
          <w:i w:val="false"/>
          <w:caps w:val="false"/>
          <w:smallCaps w:val="false"/>
          <w:color w:val="333333"/>
          <w:spacing w:val="0"/>
          <w:kern w:val="0"/>
          <w:sz w:val="22"/>
          <w:szCs w:val="22"/>
          <w:lang w:val="pl-PL" w:eastAsia="en-US" w:bidi="ar-SA"/>
        </w:rPr>
        <w:t>u</w:t>
      </w:r>
      <w:r>
        <w:rPr>
          <w:rFonts w:ascii="ISOCPEUR" w:hAnsi="ISOCPEUR"/>
          <w:b w:val="false"/>
          <w:i w:val="false"/>
          <w:caps w:val="false"/>
          <w:smallCaps w:val="false"/>
          <w:color w:val="333333"/>
          <w:spacing w:val="0"/>
          <w:sz w:val="22"/>
          <w:szCs w:val="22"/>
        </w:rPr>
        <w:t xml:space="preserve"> ograniczonej powierzchni pomieszczenia </w:t>
      </w:r>
      <w:r>
        <w:rPr>
          <w:rFonts w:ascii="ISOCPEUR" w:hAnsi="ISOCPEUR"/>
          <w:b w:val="false"/>
          <w:i w:val="false"/>
          <w:caps w:val="false"/>
          <w:smallCaps w:val="false"/>
          <w:color w:val="333333"/>
          <w:spacing w:val="0"/>
          <w:sz w:val="22"/>
          <w:szCs w:val="22"/>
        </w:rPr>
        <w:t>i wysokości</w:t>
      </w:r>
      <w:r>
        <w:rPr>
          <w:rFonts w:ascii="ISOCPEUR" w:hAnsi="ISOCPEUR"/>
          <w:b w:val="false"/>
          <w:i w:val="false"/>
          <w:caps w:val="false"/>
          <w:smallCaps w:val="false"/>
          <w:color w:val="333333"/>
          <w:spacing w:val="0"/>
          <w:sz w:val="22"/>
          <w:szCs w:val="22"/>
        </w:rPr>
        <w:t xml:space="preserve"> zaprojektowano zespół </w:t>
      </w:r>
      <w:r>
        <w:rPr>
          <w:rFonts w:ascii="ISOCPEUR" w:hAnsi="ISOCPEUR"/>
          <w:b w:val="false"/>
          <w:i w:val="false"/>
          <w:caps w:val="false"/>
          <w:smallCaps w:val="false"/>
          <w:color w:val="333333"/>
          <w:spacing w:val="0"/>
          <w:sz w:val="22"/>
          <w:szCs w:val="22"/>
        </w:rPr>
        <w:t xml:space="preserve">czterech </w:t>
      </w:r>
      <w:r>
        <w:rPr>
          <w:rFonts w:ascii="ISOCPEUR" w:hAnsi="ISOCPEUR"/>
          <w:b w:val="false"/>
          <w:i w:val="false"/>
          <w:caps w:val="false"/>
          <w:smallCaps w:val="false"/>
          <w:color w:val="333333"/>
          <w:spacing w:val="0"/>
          <w:sz w:val="22"/>
          <w:szCs w:val="22"/>
        </w:rPr>
        <w:t xml:space="preserve">filtrów </w:t>
      </w:r>
      <w:r>
        <w:rPr>
          <w:rFonts w:ascii="ISOCPEUR" w:hAnsi="ISOCPEUR"/>
          <w:b w:val="false"/>
          <w:i w:val="false"/>
          <w:caps w:val="false"/>
          <w:smallCaps w:val="false"/>
          <w:color w:val="333333"/>
          <w:spacing w:val="0"/>
          <w:sz w:val="22"/>
          <w:szCs w:val="22"/>
        </w:rPr>
        <w:t>kompozytowych</w:t>
      </w:r>
      <w:r>
        <w:rPr>
          <w:rFonts w:ascii="ISOCPEUR" w:hAnsi="ISOCPEUR"/>
          <w:b w:val="false"/>
          <w:i w:val="false"/>
          <w:caps w:val="false"/>
          <w:smallCaps w:val="false"/>
          <w:color w:val="333333"/>
          <w:spacing w:val="0"/>
          <w:sz w:val="22"/>
          <w:szCs w:val="22"/>
        </w:rPr>
        <w:t xml:space="preserve"> o średnicy </w:t>
      </w:r>
      <w:r>
        <w:rPr>
          <w:rFonts w:ascii="ISOCPEUR" w:hAnsi="ISOCPEUR"/>
          <w:b w:val="false"/>
          <w:i w:val="false"/>
          <w:caps w:val="false"/>
          <w:smallCaps w:val="false"/>
          <w:color w:val="333333"/>
          <w:spacing w:val="0"/>
          <w:sz w:val="22"/>
          <w:szCs w:val="22"/>
        </w:rPr>
        <w:t>625</w:t>
      </w:r>
      <w:r>
        <w:rPr>
          <w:rFonts w:ascii="ISOCPEUR" w:hAnsi="ISOCPEUR"/>
          <w:b w:val="false"/>
          <w:i w:val="false"/>
          <w:caps w:val="false"/>
          <w:smallCaps w:val="false"/>
          <w:color w:val="333333"/>
          <w:spacing w:val="0"/>
          <w:sz w:val="22"/>
          <w:szCs w:val="22"/>
        </w:rPr>
        <w:t xml:space="preserve">mm. </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Ze względu na istniejący stan urządzeń filtracyjnych oraz ich parametry, wymiana urządzeń na zaproponowane, na pewno polepszy jakość wody. W przypadku maksymalnych rozbiorów wydajność filtracji będzie mniejsza, niż dla poborów normatywnych.</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 xml:space="preserve">Złoża filtracyjne </w:t>
      </w:r>
      <w:r>
        <w:rPr>
          <w:rFonts w:ascii="ISOCPEUR" w:hAnsi="ISOCPEUR"/>
          <w:b w:val="false"/>
          <w:i w:val="false"/>
          <w:caps w:val="false"/>
          <w:smallCaps w:val="false"/>
          <w:color w:val="333333"/>
          <w:spacing w:val="0"/>
          <w:sz w:val="22"/>
          <w:szCs w:val="22"/>
        </w:rPr>
        <w:t>butli kompozytowych</w:t>
      </w:r>
      <w:r>
        <w:rPr>
          <w:rFonts w:ascii="ISOCPEUR" w:hAnsi="ISOCPEUR"/>
          <w:b w:val="false"/>
          <w:i w:val="false"/>
          <w:caps w:val="false"/>
          <w:smallCaps w:val="false"/>
          <w:color w:val="333333"/>
          <w:spacing w:val="0"/>
          <w:sz w:val="22"/>
          <w:szCs w:val="22"/>
        </w:rPr>
        <w:t xml:space="preserve"> powinny być zgodne z normą PN-EN 12904.</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w:t>
      </w:r>
      <w:r>
        <w:rPr>
          <w:rFonts w:eastAsia="" w:cs="" w:ascii="ISOCPEUR" w:hAnsi="ISOCPEUR" w:cstheme="minorBidi" w:eastAsiaTheme="minorEastAsia"/>
          <w:color w:val="auto"/>
          <w:kern w:val="0"/>
          <w:sz w:val="22"/>
          <w:szCs w:val="22"/>
          <w:lang w:val="pl-PL" w:eastAsia="en-US" w:bidi="ar-SA"/>
        </w:rPr>
        <w:t xml:space="preserve">Układ </w:t>
      </w:r>
      <w:r>
        <w:rPr>
          <w:rFonts w:eastAsia="" w:cs="" w:ascii="ISOCPEUR" w:hAnsi="ISOCPEUR" w:cstheme="minorBidi" w:eastAsiaTheme="minorEastAsia"/>
          <w:color w:val="auto"/>
          <w:kern w:val="0"/>
          <w:sz w:val="22"/>
          <w:szCs w:val="22"/>
          <w:lang w:val="pl-PL" w:eastAsia="en-US" w:bidi="ar-SA"/>
        </w:rPr>
        <w:t>f</w:t>
      </w:r>
      <w:r>
        <w:rPr>
          <w:rFonts w:eastAsia="" w:cs="" w:ascii="ISOCPEUR" w:hAnsi="ISOCPEUR" w:cstheme="minorBidi" w:eastAsiaTheme="minorEastAsia"/>
          <w:color w:val="auto"/>
          <w:kern w:val="0"/>
          <w:sz w:val="22"/>
          <w:szCs w:val="22"/>
          <w:lang w:val="pl-PL" w:eastAsia="en-US" w:bidi="ar-SA"/>
        </w:rPr>
        <w:t xml:space="preserve">iltracyjny musi posiadać atest PZH na kompletne urządzenie. </w:t>
      </w:r>
    </w:p>
    <w:p>
      <w:pPr>
        <w:pStyle w:val="Nagwek3"/>
        <w:spacing w:lineRule="auto" w:line="360"/>
        <w:rPr>
          <w:rFonts w:ascii="ISOCPEUR" w:hAnsi="ISOCPEUR" w:eastAsia="" w:cs="" w:cstheme="majorBidi" w:eastAsiaTheme="majorEastAsia"/>
          <w:b/>
          <w:b/>
          <w:bCs/>
          <w:smallCaps/>
          <w:color w:val="000000" w:themeColor="text1"/>
          <w:kern w:val="0"/>
          <w:sz w:val="22"/>
          <w:szCs w:val="22"/>
          <w:lang w:val="pl-PL" w:eastAsia="en-US" w:bidi="ar-SA"/>
        </w:rPr>
      </w:pPr>
      <w:bookmarkStart w:id="57" w:name="__RefHeading___Toc6632_1471982776"/>
      <w:bookmarkEnd w:id="57"/>
      <w:r>
        <w:rPr>
          <w:rFonts w:eastAsia="" w:cs="" w:ascii="ISOCPEUR" w:hAnsi="ISOCPEUR" w:cstheme="majorBidi" w:eastAsiaTheme="majorEastAsia"/>
          <w:b/>
          <w:bCs/>
          <w:smallCaps/>
          <w:color w:val="000000" w:themeColor="text1"/>
          <w:kern w:val="0"/>
          <w:sz w:val="22"/>
          <w:szCs w:val="22"/>
          <w:lang w:val="pl-PL" w:eastAsia="en-US" w:bidi="ar-SA"/>
        </w:rPr>
        <w:t>MONTAŻ UKŁADU TECHNOLOGICZNEGO</w:t>
      </w:r>
    </w:p>
    <w:p>
      <w:pPr>
        <w:pStyle w:val="Normal"/>
        <w:spacing w:lineRule="auto" w:line="360"/>
        <w:rPr>
          <w:rFonts w:ascii="ISOCPEUR" w:hAnsi="ISOCPEUR"/>
        </w:rPr>
      </w:pPr>
      <w:r>
        <w:rPr>
          <w:rFonts w:ascii="ISOCPEUR" w:hAnsi="ISOCPEUR"/>
        </w:rPr>
        <w:t xml:space="preserve">Prefabrykacja orurowania układu technologicznego realizowana będzie w </w:t>
      </w:r>
      <w:r>
        <w:rPr>
          <w:rFonts w:eastAsia="" w:cs="" w:ascii="ISOCPEUR" w:hAnsi="ISOCPEUR" w:cstheme="minorBidi" w:eastAsiaTheme="minorEastAsia"/>
          <w:color w:val="auto"/>
          <w:kern w:val="0"/>
          <w:sz w:val="22"/>
          <w:szCs w:val="22"/>
          <w:lang w:val="pl-PL" w:eastAsia="en-US" w:bidi="ar-SA"/>
        </w:rPr>
        <w:t>całości z rur stalowych nierdzewnych.</w:t>
      </w:r>
      <w:r>
        <w:rPr>
          <w:rFonts w:ascii="ISOCPEUR" w:hAnsi="ISOCPEUR"/>
        </w:rPr>
        <w:t xml:space="preserve"> Orurowanie stacji wykonać z rur i kształtek ze stali gat. 1.4301, łączonych poprzez spawanie w technologii TIG (w osłonie gazów szlachetnych - argon). Połączenia rozłączne kołnierzowe, kołnierzami PN10 przetłaczanymi luźnymi ze stali nierdzewnej wg normy DIN 2642 z zastosowaniem śrub stalowych nierdzewnych. Rurociągi należy mocować na konstrukcji wsporczej zapewniającej odpowiednią stabilność. </w:t>
      </w:r>
    </w:p>
    <w:p>
      <w:pPr>
        <w:pStyle w:val="Normal"/>
        <w:spacing w:lineRule="auto" w:line="360"/>
        <w:rPr>
          <w:rFonts w:ascii="ISOCPEUR" w:hAnsi="ISOCPEUR"/>
        </w:rPr>
      </w:pPr>
      <w:r>
        <w:rPr>
          <w:rFonts w:ascii="ISOCPEUR" w:hAnsi="ISOCPEUR"/>
        </w:rPr>
        <w:t xml:space="preserve">Na obiekt dostarczane </w:t>
      </w:r>
      <w:r>
        <w:rPr>
          <w:rFonts w:eastAsia="" w:cs="" w:ascii="ISOCPEUR" w:hAnsi="ISOCPEUR" w:cstheme="minorBidi" w:eastAsiaTheme="minorEastAsia"/>
          <w:color w:val="auto"/>
          <w:kern w:val="0"/>
          <w:sz w:val="22"/>
          <w:szCs w:val="22"/>
          <w:lang w:val="pl-PL" w:eastAsia="en-US" w:bidi="ar-SA"/>
        </w:rPr>
        <w:t>będą</w:t>
      </w:r>
      <w:r>
        <w:rPr>
          <w:rFonts w:ascii="ISOCPEUR" w:hAnsi="ISOCPEUR"/>
        </w:rPr>
        <w:t xml:space="preserve"> kompletne urządzenia technologiczne. </w:t>
      </w:r>
    </w:p>
    <w:p>
      <w:pPr>
        <w:pStyle w:val="Normal"/>
        <w:spacing w:lineRule="auto" w:line="360"/>
        <w:jc w:val="left"/>
        <w:rPr>
          <w:rFonts w:ascii="ISOCPEUR" w:hAnsi="ISOCPEUR"/>
        </w:rPr>
      </w:pPr>
      <w:r>
        <w:rPr>
          <w:rFonts w:ascii="ISOCPEUR" w:hAnsi="ISOCPEUR"/>
        </w:rPr>
        <w:t xml:space="preserve">Wszystkie rurociągi technologiczne, kołnierze i śruby wykonane ze stali kwasoodpornej 1.4301 (X5CrNi 18-10) zgodnie z PN-EN 10088-1. Odcinki montażowe (przyłączenie króćca wody surowej, króćca wody do sieci wodociągowej) wykonać z ze stali kwasoodpornej 1.4301 X5CrNi 18-10 (1.4301) zgodnie z PN-EN 10088-1. Na kolektorach należy zamontować kołnierze luźne w wykonaniu na ciśnienie nominalne PN10 umożliwiające łatwy montaż instalacji przyłączeniowej z obu stron kolektora. </w:t>
        <w:br/>
        <w:t xml:space="preserve">Specyfikacja projektowanych rurociągów: </w:t>
        <w:br/>
        <w:t xml:space="preserve">- nominalne ciśnienie pracy PN16 </w:t>
        <w:br/>
        <w:t xml:space="preserve">- grubości ścianek: - rurociąg DN 25 – DN 200 – 2 mm. </w:t>
      </w:r>
    </w:p>
    <w:p>
      <w:pPr>
        <w:pStyle w:val="Normal"/>
        <w:spacing w:lineRule="auto" w:line="360"/>
        <w:rPr>
          <w:rFonts w:ascii="ISOCPEUR" w:hAnsi="ISOCPEUR"/>
        </w:rPr>
      </w:pPr>
      <w:r>
        <w:rPr>
          <w:rFonts w:ascii="ISOCPEUR" w:hAnsi="ISOCPEUR"/>
        </w:rPr>
        <w:t xml:space="preserve">Doprowadzenie powietrza ze sprężarki do Rozdzielni Pneumatycznej i dalej do aeratora projektuje się z wężyków i kształtek pneumatycznych. Wężyk poliamidowy fi 12-15mm. Rozprowadzenie powietrza z Rozdzielni Pneumatycznej do siłowników przy filtrach projektuje się z wężyków i kształtek pneumatycznych. Wężyk poliamidowy fi 8-10mm lub fi 4-6mm. </w:t>
      </w:r>
    </w:p>
    <w:p>
      <w:pPr>
        <w:pStyle w:val="Nagwek3"/>
        <w:spacing w:lineRule="auto" w:line="360"/>
        <w:jc w:val="left"/>
        <w:rPr>
          <w:rFonts w:ascii="ISOCPEUR" w:hAnsi="ISOCPEUR" w:eastAsia="" w:cs="" w:cstheme="majorBidi" w:eastAsiaTheme="majorEastAsia"/>
          <w:b/>
          <w:b/>
          <w:bCs/>
          <w:smallCaps/>
          <w:color w:val="000000" w:themeColor="text1"/>
          <w:kern w:val="0"/>
          <w:sz w:val="22"/>
          <w:szCs w:val="22"/>
          <w:lang w:val="pl-PL" w:eastAsia="en-US" w:bidi="ar-SA"/>
        </w:rPr>
      </w:pPr>
      <w:bookmarkStart w:id="58" w:name="__RefHeading___Toc6634_1471982776121"/>
      <w:bookmarkEnd w:id="58"/>
      <w:r>
        <w:rPr>
          <w:rFonts w:eastAsia="" w:cs="" w:ascii="ISOCPEUR" w:hAnsi="ISOCPEUR" w:cstheme="majorBidi" w:eastAsiaTheme="majorEastAsia"/>
          <w:b/>
          <w:bCs/>
          <w:smallCaps/>
          <w:color w:val="000000" w:themeColor="text1"/>
          <w:kern w:val="0"/>
          <w:sz w:val="22"/>
          <w:szCs w:val="22"/>
          <w:lang w:val="pl-PL" w:eastAsia="en-US" w:bidi="ar-SA"/>
        </w:rPr>
        <w:t>ARMATURA POMIAROWA I ODCINAJĄCA</w:t>
      </w:r>
    </w:p>
    <w:p>
      <w:pPr>
        <w:pStyle w:val="Normal"/>
        <w:spacing w:lineRule="auto" w:line="360"/>
        <w:jc w:val="both"/>
        <w:rPr>
          <w:u w:val="single"/>
        </w:rPr>
      </w:pPr>
      <w:r>
        <w:rPr>
          <w:rFonts w:ascii="ISOCPEUR" w:hAnsi="ISOCPEUR"/>
          <w:sz w:val="22"/>
          <w:szCs w:val="22"/>
          <w:u w:val="single"/>
        </w:rPr>
        <w:t>PRZEPŁYWOMIERZE</w:t>
      </w:r>
    </w:p>
    <w:p>
      <w:pPr>
        <w:pStyle w:val="Normal"/>
        <w:spacing w:lineRule="auto" w:line="360"/>
        <w:jc w:val="both"/>
        <w:rPr/>
      </w:pPr>
      <w:r>
        <w:rPr>
          <w:rFonts w:ascii="ISOCPEUR" w:hAnsi="ISOCPEUR"/>
          <w:sz w:val="22"/>
          <w:szCs w:val="22"/>
        </w:rPr>
        <w:t>Do pomiaru natężenia przepływu wody w stacji uzdatniania wody oraz do sterowania procesem uzdatniania przyjęto przepływomierze elektromagnetyczne z przetwornikiem:</w:t>
      </w:r>
    </w:p>
    <w:p>
      <w:pPr>
        <w:pStyle w:val="Normal"/>
        <w:spacing w:lineRule="auto" w:line="360"/>
        <w:jc w:val="left"/>
        <w:rPr/>
      </w:pPr>
      <w:r>
        <w:rPr>
          <w:rFonts w:ascii="ISOCPEUR" w:hAnsi="ISOCPEUR"/>
          <w:sz w:val="22"/>
          <w:szCs w:val="22"/>
        </w:rPr>
        <w:t>- woda surowa ze studni głębinowej, DN1</w:t>
      </w:r>
      <w:r>
        <w:rPr>
          <w:rFonts w:eastAsia="" w:cs="" w:ascii="ISOCPEUR" w:hAnsi="ISOCPEUR" w:cstheme="minorBidi" w:eastAsiaTheme="minorEastAsia"/>
          <w:color w:val="auto"/>
          <w:kern w:val="0"/>
          <w:sz w:val="22"/>
          <w:szCs w:val="22"/>
          <w:lang w:val="pl-PL" w:eastAsia="en-US" w:bidi="ar-SA"/>
        </w:rPr>
        <w:t>00</w:t>
      </w:r>
      <w:r>
        <w:rPr>
          <w:rFonts w:ascii="ISOCPEUR" w:hAnsi="ISOCPEUR"/>
          <w:sz w:val="22"/>
          <w:szCs w:val="22"/>
        </w:rPr>
        <w:br/>
        <w:t>- woda uzdatniona na sieć, DN1</w:t>
      </w:r>
      <w:r>
        <w:rPr>
          <w:rFonts w:eastAsia="" w:cs="" w:ascii="ISOCPEUR" w:hAnsi="ISOCPEUR" w:cstheme="minorBidi" w:eastAsiaTheme="minorEastAsia"/>
          <w:color w:val="auto"/>
          <w:kern w:val="0"/>
          <w:sz w:val="22"/>
          <w:szCs w:val="22"/>
          <w:lang w:val="pl-PL" w:eastAsia="en-US" w:bidi="ar-SA"/>
        </w:rPr>
        <w:t>00</w:t>
      </w:r>
      <w:r>
        <w:rPr>
          <w:rFonts w:eastAsia="" w:cs="" w:ascii="ISOCPEUR" w:hAnsi="ISOCPEUR" w:cstheme="minorBidi" w:eastAsiaTheme="minorEastAsia"/>
          <w:color w:val="auto"/>
          <w:kern w:val="0"/>
          <w:sz w:val="22"/>
          <w:szCs w:val="22"/>
          <w:lang w:val="pl-PL" w:eastAsia="en-US" w:bidi="ar-SA"/>
        </w:rPr>
        <w:br/>
        <w:t>- woda uzdatniona na sieć, DN</w:t>
      </w:r>
      <w:r>
        <w:rPr>
          <w:rFonts w:eastAsia="" w:cs="" w:ascii="ISOCPEUR" w:hAnsi="ISOCPEUR" w:cstheme="minorBidi" w:eastAsiaTheme="minorEastAsia"/>
          <w:color w:val="auto"/>
          <w:kern w:val="0"/>
          <w:sz w:val="22"/>
          <w:szCs w:val="22"/>
          <w:lang w:val="pl-PL" w:eastAsia="en-US" w:bidi="ar-SA"/>
        </w:rPr>
        <w:t>8</w:t>
      </w:r>
      <w:r>
        <w:rPr>
          <w:rFonts w:eastAsia="" w:cs="" w:ascii="ISOCPEUR" w:hAnsi="ISOCPEUR" w:cstheme="minorBidi" w:eastAsiaTheme="minorEastAsia"/>
          <w:color w:val="auto"/>
          <w:kern w:val="0"/>
          <w:sz w:val="22"/>
          <w:szCs w:val="22"/>
          <w:lang w:val="pl-PL" w:eastAsia="en-US" w:bidi="ar-SA"/>
        </w:rPr>
        <w:t>0</w:t>
      </w:r>
      <w:r>
        <w:rPr>
          <w:rFonts w:ascii="ISOCPEUR" w:hAnsi="ISOCPEUR"/>
          <w:sz w:val="22"/>
          <w:szCs w:val="22"/>
        </w:rPr>
        <w:br/>
        <w:t>Dane techniczne przepływomierzy:</w:t>
        <w:br/>
        <w:t>Czujnik przepływu</w:t>
        <w:br/>
        <w:t>- owiercenie kołnierzy wg. EN 1092-2, PN16</w:t>
        <w:br/>
        <w:t xml:space="preserve">- przepływomierz DN </w:t>
      </w:r>
      <w:r>
        <w:rPr>
          <w:rFonts w:ascii="ISOCPEUR" w:hAnsi="ISOCPEUR"/>
          <w:sz w:val="22"/>
          <w:szCs w:val="22"/>
        </w:rPr>
        <w:t>8</w:t>
      </w:r>
      <w:r>
        <w:rPr>
          <w:rFonts w:ascii="ISOCPEUR" w:hAnsi="ISOCPEUR"/>
          <w:sz w:val="22"/>
          <w:szCs w:val="22"/>
        </w:rPr>
        <w:t xml:space="preserve">0 </w:t>
        <w:br/>
        <w:t xml:space="preserve">- przepływomierz DN 100 </w:t>
        <w:br/>
        <w:t>- przepływomierz DN 1</w:t>
      </w:r>
      <w:r>
        <w:rPr>
          <w:rFonts w:eastAsia="" w:cs="" w:ascii="ISOCPEUR" w:hAnsi="ISOCPEUR" w:cstheme="minorBidi" w:eastAsiaTheme="minorEastAsia"/>
          <w:color w:val="auto"/>
          <w:kern w:val="0"/>
          <w:sz w:val="22"/>
          <w:szCs w:val="22"/>
          <w:lang w:val="pl-PL" w:eastAsia="en-US" w:bidi="ar-SA"/>
        </w:rPr>
        <w:t>00</w:t>
      </w:r>
      <w:r>
        <w:rPr>
          <w:rFonts w:ascii="ISOCPEUR" w:hAnsi="ISOCPEUR"/>
          <w:sz w:val="22"/>
          <w:szCs w:val="22"/>
        </w:rPr>
        <w:t xml:space="preserve"> </w:t>
        <w:br/>
        <w:t>- kołnierze i korpus -stal węglowa st 37.2 malowane dwuskładnikową farbą epoksydową</w:t>
        <w:br/>
        <w:t xml:space="preserve">- wykładzina: NBR </w:t>
        <w:br/>
        <w:t xml:space="preserve">- temperatura medium: 0,1-130°C </w:t>
        <w:br/>
        <w:t xml:space="preserve">- stopień ochrony liczydła: IP68 </w:t>
        <w:br/>
        <w:t xml:space="preserve">- nadajnik impulsów </w:t>
        <w:br/>
        <w:t xml:space="preserve">- atest PZH </w:t>
      </w:r>
    </w:p>
    <w:p>
      <w:pPr>
        <w:pStyle w:val="Normal"/>
        <w:spacing w:lineRule="auto" w:line="360"/>
        <w:jc w:val="both"/>
        <w:rPr/>
      </w:pPr>
      <w:r>
        <w:rPr>
          <w:rFonts w:ascii="ISOCPEUR" w:hAnsi="ISOCPEUR"/>
          <w:sz w:val="22"/>
          <w:szCs w:val="22"/>
        </w:rPr>
        <w:t>Dostawa w ramach orurowania poza zestawami technologicznymi.</w:t>
      </w:r>
    </w:p>
    <w:p>
      <w:pPr>
        <w:pStyle w:val="Normal"/>
        <w:spacing w:lineRule="auto" w:line="360"/>
        <w:jc w:val="both"/>
        <w:rPr>
          <w:u w:val="single"/>
        </w:rPr>
      </w:pPr>
      <w:r>
        <w:rPr>
          <w:rFonts w:ascii="ISOCPEUR" w:hAnsi="ISOCPEUR"/>
          <w:sz w:val="22"/>
          <w:szCs w:val="22"/>
          <w:u w:val="single"/>
        </w:rPr>
        <w:t>PRZETWORNIKI CIŚNIENIA</w:t>
      </w:r>
    </w:p>
    <w:p>
      <w:pPr>
        <w:pStyle w:val="Normal"/>
        <w:spacing w:lineRule="auto" w:line="360"/>
        <w:jc w:val="left"/>
        <w:rPr/>
      </w:pPr>
      <w:r>
        <w:rPr>
          <w:rFonts w:ascii="ISOCPEUR" w:hAnsi="ISOCPEUR"/>
          <w:sz w:val="22"/>
          <w:szCs w:val="22"/>
        </w:rPr>
        <w:t>W celu kontroli ciśnienia na układzie technologicznym zaprojektowano przetworniki ciśnienia:</w:t>
        <w:br/>
        <w:t xml:space="preserve">- na rurociągu wody surowej, </w:t>
        <w:br/>
        <w:t xml:space="preserve">- na </w:t>
      </w:r>
      <w:r>
        <w:rPr>
          <w:rFonts w:eastAsia="" w:cs="" w:ascii="ISOCPEUR" w:hAnsi="ISOCPEUR" w:cstheme="minorBidi" w:eastAsiaTheme="minorEastAsia"/>
          <w:color w:val="auto"/>
          <w:kern w:val="0"/>
          <w:sz w:val="22"/>
          <w:szCs w:val="22"/>
          <w:lang w:val="pl-PL" w:eastAsia="en-US" w:bidi="ar-SA"/>
        </w:rPr>
        <w:t>rurociągu wody płucznej,</w:t>
        <w:br/>
        <w:t xml:space="preserve">- na rurociągu wody sieciowej, </w:t>
      </w:r>
      <w:r>
        <w:rPr>
          <w:rFonts w:ascii="ISOCPEUR" w:hAnsi="ISOCPEUR"/>
          <w:sz w:val="22"/>
          <w:szCs w:val="22"/>
        </w:rPr>
        <w:br/>
      </w:r>
    </w:p>
    <w:p>
      <w:pPr>
        <w:pStyle w:val="Normal"/>
        <w:spacing w:lineRule="auto" w:line="360"/>
        <w:jc w:val="both"/>
        <w:rPr>
          <w:u w:val="single"/>
        </w:rPr>
      </w:pPr>
      <w:r>
        <w:rPr>
          <w:rFonts w:ascii="ISOCPEUR" w:hAnsi="ISOCPEUR"/>
          <w:sz w:val="22"/>
          <w:szCs w:val="22"/>
          <w:u w:val="single"/>
        </w:rPr>
        <w:t>P</w:t>
      </w:r>
      <w:r>
        <w:rPr>
          <w:rFonts w:eastAsia="" w:cs="" w:ascii="ISOCPEUR" w:hAnsi="ISOCPEUR" w:cstheme="minorBidi" w:eastAsiaTheme="minorEastAsia"/>
          <w:color w:val="auto"/>
          <w:kern w:val="0"/>
          <w:sz w:val="22"/>
          <w:szCs w:val="22"/>
          <w:u w:val="single"/>
          <w:lang w:val="pl-PL" w:eastAsia="en-US" w:bidi="ar-SA"/>
        </w:rPr>
        <w:t>RZEPUSTNICE, ZAWORY</w:t>
      </w:r>
    </w:p>
    <w:p>
      <w:pPr>
        <w:pStyle w:val="Normal"/>
        <w:spacing w:lineRule="auto" w:line="360"/>
        <w:jc w:val="left"/>
        <w:rPr/>
      </w:pPr>
      <w:r>
        <w:rPr>
          <w:rFonts w:ascii="ISOCPEUR" w:hAnsi="ISOCPEUR"/>
          <w:sz w:val="22"/>
          <w:szCs w:val="22"/>
        </w:rPr>
        <w:t>Na rurociągach układu technologicznego zaprojektowano następującą armaturę odcinającą:</w:t>
      </w:r>
    </w:p>
    <w:p>
      <w:pPr>
        <w:pStyle w:val="Normal"/>
        <w:spacing w:lineRule="auto" w:line="360"/>
        <w:jc w:val="left"/>
        <w:rPr/>
      </w:pPr>
      <w:r>
        <w:rPr>
          <w:rFonts w:ascii="ISOCPEUR" w:hAnsi="ISOCPEUR"/>
          <w:sz w:val="22"/>
          <w:szCs w:val="22"/>
        </w:rPr>
        <w:t>- przepustnice odcinające z dźwignią ręczną, przepustnica bezkołnierzowa z napędem ręcznym dźwigniowym; dysk: AISI316; wykładzina: EPDM; korpus: GG25 epoksyd.; Pnom=1,6 MPa, tmax=120°C,</w:t>
      </w:r>
    </w:p>
    <w:p>
      <w:pPr>
        <w:pStyle w:val="Normal"/>
        <w:spacing w:lineRule="auto" w:line="360"/>
        <w:jc w:val="left"/>
        <w:rPr/>
      </w:pPr>
      <w:r>
        <w:rPr>
          <w:rFonts w:ascii="ISOCPEUR" w:hAnsi="ISOCPEUR"/>
          <w:sz w:val="22"/>
          <w:szCs w:val="22"/>
        </w:rPr>
        <w:t xml:space="preserve">- zawory zwrotne typ 402, zespół zamykania: grzybkowy o krótkim przemieszczeniu wspomagany sprężyną, praca w dowolnym położeniu, małe straty ciśnienia, cicha praca, zwarta budowa, zawór nie generujący uderzeń hydraulicznych, temp. pracy -10… +100 st.C, korpus: żeliwo szare epoksydowane. Doskonała szczelność dzięki płaskiej uszczelce (EPDM) </w:t>
      </w:r>
    </w:p>
    <w:p>
      <w:pPr>
        <w:pStyle w:val="Nagwek3"/>
        <w:spacing w:lineRule="auto" w:line="360"/>
        <w:rPr>
          <w:rFonts w:ascii="ISOCPEUR" w:hAnsi="ISOCPEUR"/>
        </w:rPr>
      </w:pPr>
      <w:bookmarkStart w:id="59" w:name="__RefHeading___Toc6634_14719827761"/>
      <w:bookmarkEnd w:id="59"/>
      <w:r>
        <w:rPr>
          <w:rFonts w:eastAsia="" w:cs="" w:ascii="ISOCPEUR" w:hAnsi="ISOCPEUR" w:cstheme="majorBidi" w:eastAsiaTheme="majorEastAsia"/>
          <w:b/>
          <w:bCs/>
          <w:smallCaps/>
          <w:color w:val="000000" w:themeColor="text1"/>
          <w:kern w:val="0"/>
          <w:sz w:val="22"/>
          <w:szCs w:val="22"/>
          <w:lang w:val="pl-PL" w:eastAsia="en-US" w:bidi="ar-SA"/>
        </w:rPr>
        <w:t>DEZYNFEKCJA WODY UZDATNIONEJ</w:t>
      </w:r>
      <w:r>
        <w:rPr>
          <w:rFonts w:ascii="ISOCPEUR" w:hAnsi="ISOCPEUR"/>
        </w:rPr>
        <w:t xml:space="preserve">   </w:t>
      </w:r>
    </w:p>
    <w:p>
      <w:pPr>
        <w:pStyle w:val="Normal"/>
        <w:spacing w:lineRule="auto" w:line="360"/>
        <w:jc w:val="both"/>
        <w:rPr/>
      </w:pPr>
      <w:r>
        <w:rPr>
          <w:rFonts w:eastAsia="" w:cs="" w:ascii="ISOCPEUR" w:hAnsi="ISOCPEUR" w:cstheme="minorBidi" w:eastAsiaTheme="minorEastAsia"/>
          <w:color w:val="auto"/>
          <w:kern w:val="0"/>
          <w:sz w:val="22"/>
          <w:szCs w:val="22"/>
          <w:lang w:val="pl-PL" w:eastAsia="en-US" w:bidi="ar-SA"/>
        </w:rPr>
        <w:t>Dezynfekcja wody wykonywana będzie sporadycznie na wyraźne zalecenie SSE, lub w innych przypadkach tego wymagających za pomocą stacji dozującej podchloryn sodu. Roztwór podchlorynu sodu  dozowany będzie do przewodu doprowadzającego wodę do przewodu wodociągowego zasilającego bezpośrednio zewnętrzną sieć wody czystej przy pomocy stacji dozującej.</w:t>
        <w:br/>
        <w:t xml:space="preserve">Dezynfekcja wody podawanej do sieci za pomocą dozownika podchlorynu sodu. Proces dezynfekcji wody awaryjnie prowadzony będzie roztworem podchlorynu sodu 3% za pośrednictwem pompy dozującej współpracującej z nadajnikiem impulsów. Zestaw dozujący musi posiadać atest PZH na kompletne urządzenie. </w:t>
      </w:r>
    </w:p>
    <w:p>
      <w:pPr>
        <w:pStyle w:val="Normal"/>
        <w:spacing w:lineRule="auto" w:line="360"/>
        <w:jc w:val="left"/>
        <w:rPr/>
      </w:pPr>
      <w:r>
        <w:rPr>
          <w:rFonts w:eastAsia="" w:cs="" w:ascii="ISOCPEUR" w:hAnsi="ISOCPEUR" w:cstheme="minorBidi" w:eastAsiaTheme="minorEastAsia"/>
          <w:color w:val="auto"/>
          <w:kern w:val="0"/>
          <w:sz w:val="22"/>
          <w:szCs w:val="22"/>
          <w:lang w:val="pl-PL" w:eastAsia="en-US" w:bidi="ar-SA"/>
        </w:rPr>
        <w:t xml:space="preserve">Projektuje się stację dozującą o parametrach: </w:t>
        <w:br/>
        <w:t xml:space="preserve">- wydajność – od 0,0 do 6,0l/h, </w:t>
        <w:br/>
        <w:t xml:space="preserve">- wysokość podnoszenia – 100,0 m sł. wody, </w:t>
        <w:br/>
        <w:t xml:space="preserve">- nominalna moc silnika pompy – 14 W. </w:t>
        <w:br/>
        <w:t xml:space="preserve">- pojemność zbiornika – 100l, </w:t>
      </w:r>
    </w:p>
    <w:p>
      <w:pPr>
        <w:pStyle w:val="Normal"/>
        <w:widowControl/>
        <w:suppressAutoHyphens w:val="true"/>
        <w:bidi w:val="0"/>
        <w:spacing w:lineRule="auto" w:line="360" w:before="0" w:after="160"/>
        <w:ind w:left="0" w:right="0" w:hanging="0"/>
        <w:jc w:val="left"/>
        <w:rPr/>
      </w:pPr>
      <w:r>
        <w:rPr>
          <w:rFonts w:eastAsia="" w:cs="" w:ascii="ISOCPEUR" w:hAnsi="ISOCPEUR" w:cstheme="minorBidi" w:eastAsiaTheme="minorEastAsia"/>
          <w:color w:val="auto"/>
          <w:kern w:val="0"/>
          <w:sz w:val="22"/>
          <w:szCs w:val="22"/>
          <w:lang w:val="pl-PL" w:eastAsia="en-US" w:bidi="ar-SA"/>
        </w:rPr>
        <w:t>Stacja dozująca ustawiona zostanie w dotychczasowym pomieszczeniu stacji uzdatniania wody. W pomieszczeniu projektuje się wentylację nawiewno-grawitacyjną oraz mechaniczną wywiewną, przy użyciu wentylatora dachowego, zapewniającego 10-krotną wymianę powietrza. Na wylocie z pomieszczenia przewidziano przepustnicę samoczynną o średnicy 200mm. Nawiew realizowany grawitacyjnie czerpnią z żaluzją samoczynną umieszczoną w drzwiach. Instalacja wentylacji mechanicznej wyposażona zostanie w czujnik ruchu oraz włącznik na zewnątrz pomieszczenia. Układ taki pracuje w momencie obecności obsługi stacji. Podchloryn służący do dezynfekcji dowożony będzie tylko w</w:t>
        <w:br/>
        <w:t xml:space="preserve">wypadku konieczności dezynfekcji. </w:t>
        <w:br/>
        <w:t xml:space="preserve"> </w:t>
      </w:r>
    </w:p>
    <w:p>
      <w:pPr>
        <w:pStyle w:val="Nagwek3"/>
        <w:spacing w:lineRule="auto" w:line="360"/>
        <w:rPr>
          <w:rFonts w:ascii="ISOCPEUR" w:hAnsi="ISOCPEUR" w:eastAsia="" w:cs="" w:cstheme="majorBidi" w:eastAsiaTheme="majorEastAsia"/>
          <w:b/>
          <w:b/>
          <w:bCs/>
          <w:smallCaps/>
          <w:color w:val="000000" w:themeColor="text1"/>
        </w:rPr>
      </w:pPr>
      <w:bookmarkStart w:id="60" w:name="__RefHeading___Toc6630_147198277611"/>
      <w:bookmarkEnd w:id="60"/>
      <w:r>
        <w:rPr>
          <w:rFonts w:eastAsia="" w:cs="" w:ascii="ISOCPEUR" w:hAnsi="ISOCPEUR" w:cstheme="majorBidi" w:eastAsiaTheme="majorEastAsia"/>
          <w:b/>
          <w:bCs/>
          <w:smallCaps/>
          <w:color w:val="000000" w:themeColor="text1"/>
        </w:rPr>
        <w:t>MONTAŻ LAMPY UV (DEZYNFEKCJA BAKTERIOLOGICZNA)</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Lampa bakteriobójcza UV o nominalnym przepływie </w:t>
      </w:r>
      <w:r>
        <w:rPr>
          <w:rFonts w:eastAsia="" w:cs="" w:ascii="ISOCPEUR" w:hAnsi="ISOCPEUR"/>
          <w:b w:val="false"/>
          <w:i w:val="false"/>
          <w:caps w:val="false"/>
          <w:smallCaps w:val="false"/>
          <w:color w:val="333333"/>
          <w:spacing w:val="0"/>
          <w:kern w:val="0"/>
          <w:sz w:val="22"/>
          <w:szCs w:val="22"/>
          <w:lang w:val="pl-PL" w:eastAsia="en-US" w:bidi="ar-SA"/>
        </w:rPr>
        <w:t>36</w:t>
      </w:r>
      <w:r>
        <w:rPr>
          <w:rFonts w:ascii="ISOCPEUR" w:hAnsi="ISOCPEUR"/>
          <w:b w:val="false"/>
          <w:i w:val="false"/>
          <w:caps w:val="false"/>
          <w:smallCaps w:val="false"/>
          <w:color w:val="333333"/>
          <w:spacing w:val="0"/>
          <w:sz w:val="22"/>
          <w:szCs w:val="22"/>
        </w:rPr>
        <w:t>,0 m3/h, wyposażona w  dwa 210 watowe amalgamatowe promienniki. Podczas procesu promiennik umiejscowiony w kwarcowej rurze emituje światło UV, które wnika w wodę i usuwa z niej wirusy i bakterie typu escherichia coli, bakterie grupy Coli, paciorkowce kałowe, legionella, zgorzel gazowa i inne.</w:t>
      </w:r>
      <w:r>
        <w:rPr>
          <w:rFonts w:ascii="ISOCPEUR" w:hAnsi="ISOCPEUR"/>
          <w:sz w:val="22"/>
          <w:szCs w:val="22"/>
        </w:rPr>
        <w:t xml:space="preserve"> </w:t>
      </w:r>
    </w:p>
    <w:p>
      <w:pPr>
        <w:pStyle w:val="Normal"/>
        <w:spacing w:lineRule="auto" w:line="240"/>
        <w:rPr>
          <w:rFonts w:ascii="ISOCPEUR" w:hAnsi="ISOCPEUR"/>
          <w:sz w:val="22"/>
          <w:szCs w:val="22"/>
        </w:rPr>
      </w:pPr>
      <w:r>
        <w:rPr>
          <w:rFonts w:ascii="ISOCPEUR" w:hAnsi="ISOCPEUR"/>
          <w:sz w:val="22"/>
          <w:szCs w:val="22"/>
        </w:rPr>
        <w:t>Parametry techniczne:</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Średnica przyłącza: DN100 (kołnierzowe)</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Liczba promienników: 2x210 W</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Długość: 1260 mm</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Średnica: 220 mm</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Waga z układem sterowania: 39 kg</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Żywotność promienników: 16000 h (około 660 dni)</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Ciśnienie pracy: 10 bar</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Zalecana temperatura cieczy: 0,5 – 50°C</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Moc przyłącza: 220 W</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Przepływ nominalny: 36,0 m3/h</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Materiał: stal kwasoodporna</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Zasilanie układu sterowania: 220V – 240V 50/60Hz</w:t>
      </w:r>
    </w:p>
    <w:p>
      <w:pPr>
        <w:pStyle w:val="Tretekstu"/>
        <w:numPr>
          <w:ilvl w:val="0"/>
          <w:numId w:val="0"/>
        </w:numPr>
        <w:spacing w:lineRule="auto" w:line="240"/>
        <w:ind w:left="720" w:hanging="0"/>
        <w:rPr>
          <w:b w:val="false"/>
          <w:b w:val="false"/>
          <w:i w:val="false"/>
          <w:i w:val="false"/>
          <w:caps w:val="false"/>
          <w:smallCaps w:val="false"/>
          <w:color w:val="333333"/>
          <w:spacing w:val="0"/>
          <w:sz w:val="22"/>
          <w:szCs w:val="22"/>
        </w:rPr>
      </w:pPr>
      <w:r>
        <w:rPr>
          <w:b w:val="false"/>
          <w:i w:val="false"/>
          <w:caps w:val="false"/>
          <w:smallCaps w:val="false"/>
          <w:color w:val="333333"/>
          <w:spacing w:val="0"/>
          <w:sz w:val="22"/>
          <w:szCs w:val="22"/>
        </w:rPr>
      </w:r>
    </w:p>
    <w:p>
      <w:pPr>
        <w:pStyle w:val="Tretekstu"/>
        <w:numPr>
          <w:ilvl w:val="0"/>
          <w:numId w:val="0"/>
        </w:numPr>
        <w:spacing w:lineRule="auto" w:line="240"/>
        <w:ind w:left="720" w:hanging="0"/>
        <w:rPr/>
      </w:pPr>
      <w:r>
        <w:rPr>
          <w:rStyle w:val="Mocnewyrnione"/>
          <w:rFonts w:ascii="ISOCPEUR" w:hAnsi="ISOCPEUR"/>
          <w:b w:val="false"/>
          <w:i w:val="false"/>
          <w:caps w:val="false"/>
          <w:smallCaps w:val="false"/>
          <w:color w:val="333333"/>
          <w:spacing w:val="0"/>
          <w:sz w:val="22"/>
          <w:szCs w:val="22"/>
        </w:rPr>
        <w:t>Dane techniczne układu sterowania:</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Zasilanie: 220V – 240V 50/60Hz</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Moc przyłącza: 440 W</w:t>
      </w:r>
    </w:p>
    <w:p>
      <w:pPr>
        <w:pStyle w:val="Tretekstu"/>
        <w:widowControl/>
        <w:numPr>
          <w:ilvl w:val="0"/>
          <w:numId w:val="6"/>
        </w:numPr>
        <w:suppressAutoHyphens w:val="true"/>
        <w:bidi w:val="0"/>
        <w:spacing w:lineRule="auto" w:line="240" w:before="0" w:after="120"/>
        <w:ind w:left="737" w:right="0" w:hanging="340"/>
        <w:jc w:val="left"/>
        <w:rPr/>
      </w:pPr>
      <w:r>
        <w:rPr>
          <w:rFonts w:ascii="ISOCPEUR" w:hAnsi="ISOCPEUR"/>
          <w:b w:val="false"/>
          <w:i w:val="false"/>
          <w:caps w:val="false"/>
          <w:smallCaps w:val="false"/>
          <w:color w:val="333333"/>
          <w:spacing w:val="0"/>
          <w:sz w:val="22"/>
          <w:szCs w:val="22"/>
        </w:rPr>
        <w:t>Klasa ochrony: IP 40</w:t>
      </w:r>
    </w:p>
    <w:p>
      <w:pPr>
        <w:pStyle w:val="Tretekstu"/>
        <w:widowControl/>
        <w:numPr>
          <w:ilvl w:val="0"/>
          <w:numId w:val="6"/>
        </w:numPr>
        <w:suppressAutoHyphens w:val="true"/>
        <w:bidi w:val="0"/>
        <w:spacing w:lineRule="auto" w:line="240" w:before="0" w:after="120"/>
        <w:ind w:left="737" w:right="0" w:hanging="340"/>
        <w:jc w:val="left"/>
        <w:rPr/>
      </w:pPr>
      <w:r>
        <w:rPr>
          <w:rFonts w:ascii="ISOCPEUR" w:hAnsi="ISOCPEUR"/>
          <w:b w:val="false"/>
          <w:i w:val="false"/>
          <w:caps w:val="false"/>
          <w:smallCaps w:val="false"/>
          <w:color w:val="333333"/>
          <w:spacing w:val="0"/>
          <w:sz w:val="22"/>
          <w:szCs w:val="22"/>
        </w:rPr>
        <w:t>Materiał: ALUMINIUM/ABS</w:t>
      </w:r>
    </w:p>
    <w:p>
      <w:pPr>
        <w:pStyle w:val="Tretekstu"/>
        <w:widowControl/>
        <w:numPr>
          <w:ilvl w:val="0"/>
          <w:numId w:val="6"/>
        </w:numPr>
        <w:suppressAutoHyphens w:val="true"/>
        <w:bidi w:val="0"/>
        <w:spacing w:lineRule="auto" w:line="240" w:before="0" w:after="120"/>
        <w:ind w:left="737" w:right="0" w:hanging="340"/>
        <w:jc w:val="left"/>
        <w:rPr/>
      </w:pPr>
      <w:r>
        <w:rPr>
          <w:rFonts w:ascii="ISOCPEUR" w:hAnsi="ISOCPEUR"/>
          <w:b w:val="false"/>
          <w:i w:val="false"/>
          <w:caps w:val="false"/>
          <w:smallCaps w:val="false"/>
          <w:color w:val="333333"/>
          <w:spacing w:val="0"/>
          <w:sz w:val="22"/>
          <w:szCs w:val="22"/>
        </w:rPr>
        <w:t>Wymiary(Dł x sz x wys.): 400x109x115 mm</w:t>
      </w:r>
    </w:p>
    <w:p>
      <w:pPr>
        <w:pStyle w:val="Tretekstu"/>
        <w:widowControl/>
        <w:numPr>
          <w:ilvl w:val="0"/>
          <w:numId w:val="0"/>
        </w:numPr>
        <w:suppressAutoHyphens w:val="true"/>
        <w:bidi w:val="0"/>
        <w:spacing w:lineRule="auto" w:line="240" w:before="0" w:after="120"/>
        <w:ind w:left="1117" w:right="0" w:hanging="0"/>
        <w:jc w:val="left"/>
        <w:rPr>
          <w:b w:val="false"/>
          <w:b w:val="false"/>
          <w:i w:val="false"/>
          <w:i w:val="false"/>
          <w:caps w:val="false"/>
          <w:smallCaps w:val="false"/>
          <w:color w:val="333333"/>
          <w:spacing w:val="0"/>
        </w:rPr>
      </w:pPr>
      <w:r>
        <w:rPr>
          <w:b w:val="false"/>
          <w:i w:val="false"/>
          <w:caps w:val="false"/>
          <w:smallCaps w:val="false"/>
          <w:color w:val="333333"/>
          <w:spacing w:val="0"/>
        </w:rPr>
      </w:r>
    </w:p>
    <w:p>
      <w:pPr>
        <w:pStyle w:val="Tretekstu"/>
        <w:widowControl/>
        <w:numPr>
          <w:ilvl w:val="0"/>
          <w:numId w:val="0"/>
        </w:numPr>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i w:val="false"/>
          <w:caps w:val="false"/>
          <w:smallCaps w:val="false"/>
          <w:color w:val="333333"/>
          <w:spacing w:val="0"/>
          <w:kern w:val="0"/>
          <w:sz w:val="22"/>
          <w:szCs w:val="22"/>
          <w:lang w:val="pl-PL" w:eastAsia="en-US" w:bidi="ar-SA"/>
        </w:rPr>
        <w:t xml:space="preserve">Ponadto lampa </w:t>
      </w:r>
      <w:r>
        <w:rPr>
          <w:rFonts w:eastAsia="Times New Roman" w:cs="Times New Roman" w:ascii="ISOCPEUR" w:hAnsi="ISOCPEUR"/>
          <w:b w:val="false"/>
          <w:i w:val="false"/>
          <w:caps w:val="false"/>
          <w:smallCaps w:val="false"/>
          <w:color w:val="333333"/>
          <w:spacing w:val="0"/>
          <w:kern w:val="2"/>
          <w:sz w:val="22"/>
          <w:szCs w:val="22"/>
          <w:lang w:val="pl-PL" w:eastAsia="ar-SA" w:bidi="ar-SA"/>
        </w:rPr>
        <w:t>fabrycznie</w:t>
      </w:r>
      <w:r>
        <w:rPr>
          <w:rFonts w:eastAsia="" w:cs="" w:ascii="ISOCPEUR" w:hAnsi="ISOCPEUR"/>
          <w:b w:val="false"/>
          <w:i w:val="false"/>
          <w:caps w:val="false"/>
          <w:smallCaps w:val="false"/>
          <w:color w:val="333333"/>
          <w:spacing w:val="0"/>
          <w:kern w:val="0"/>
          <w:sz w:val="22"/>
          <w:szCs w:val="22"/>
          <w:lang w:val="pl-PL" w:eastAsia="en-US" w:bidi="ar-SA"/>
        </w:rPr>
        <w:t xml:space="preserve"> posiada wbudowane systemy: alarmowy, dźwiękowy sygnalizator uszkodzenia promiennika UV, optyczny wskaźnik pracy sterylizatora, optyczny wskaźnik uszkodzenia promiennika, licznik czasu pracy, licznik liczby włączeń, licznik pozostałego czasu pracy, wyjście na elektrozawór, wyprowadzenie sygnału alarmowego. Zastosowano dwie tego typu lampy, odrębnie na każde wyjście zasilające sieć wodociągową.</w:t>
      </w:r>
    </w:p>
    <w:p>
      <w:pPr>
        <w:pStyle w:val="Nagwek3"/>
        <w:spacing w:lineRule="auto" w:line="360"/>
        <w:rPr>
          <w:rFonts w:ascii="ISOCPEUR" w:hAnsi="ISOCPEUR"/>
        </w:rPr>
      </w:pPr>
      <w:bookmarkStart w:id="61" w:name="__RefHeading___Toc6634_1471982776"/>
      <w:bookmarkStart w:id="62" w:name="_Toc185095282"/>
      <w:bookmarkEnd w:id="61"/>
      <w:r>
        <w:rPr>
          <w:rFonts w:eastAsia="" w:cs="" w:ascii="ISOCPEUR" w:hAnsi="ISOCPEUR" w:cstheme="majorBidi" w:eastAsiaTheme="majorEastAsia"/>
          <w:b/>
          <w:bCs/>
          <w:smallCaps/>
          <w:color w:val="000000" w:themeColor="text1"/>
        </w:rPr>
        <w:t>M</w:t>
      </w:r>
      <w:bookmarkEnd w:id="62"/>
      <w:r>
        <w:rPr>
          <w:rFonts w:eastAsia="" w:cs="" w:ascii="ISOCPEUR" w:hAnsi="ISOCPEUR" w:cstheme="majorBidi" w:eastAsiaTheme="majorEastAsia"/>
          <w:b/>
          <w:bCs/>
          <w:smallCaps/>
          <w:color w:val="000000" w:themeColor="text1"/>
        </w:rPr>
        <w:t>ONTAŻ OSUSZACZA POWIETRZA</w:t>
      </w:r>
      <w:r>
        <w:rPr>
          <w:rFonts w:ascii="ISOCPEUR" w:hAnsi="ISOCPEUR"/>
        </w:rPr>
        <w:t xml:space="preserve">   </w:t>
      </w:r>
    </w:p>
    <w:p>
      <w:pPr>
        <w:pStyle w:val="Normal"/>
        <w:spacing w:lineRule="auto" w:line="360"/>
        <w:rPr/>
      </w:pPr>
      <w:r>
        <w:rPr>
          <w:rFonts w:ascii="ISOCPEUR" w:hAnsi="ISOCPEUR"/>
          <w:sz w:val="22"/>
          <w:szCs w:val="22"/>
        </w:rPr>
        <w:t>W celu obniżenia wilgotności w pomieszczeniu SUW, a także zapobieganiu zjawisku wykraplania się wody, wewnątrz pomieszczenia i na urządzeniach technologicznych zaprojektowano dwa osuszacze z racji różnicy poziomów posadzek w obrębie pomieszczenia.</w:t>
      </w:r>
    </w:p>
    <w:p>
      <w:pPr>
        <w:pStyle w:val="Normal"/>
        <w:spacing w:lineRule="auto" w:line="240"/>
        <w:rPr>
          <w:rFonts w:ascii="ISOCPEUR" w:hAnsi="ISOCPEUR"/>
          <w:sz w:val="22"/>
          <w:szCs w:val="22"/>
        </w:rPr>
      </w:pPr>
      <w:r>
        <w:rPr>
          <w:rFonts w:ascii="ISOCPEUR" w:hAnsi="ISOCPEUR"/>
          <w:sz w:val="22"/>
          <w:szCs w:val="22"/>
        </w:rPr>
        <w:t xml:space="preserve">PROJEKTOWANE URZĄDZENIE: </w:t>
      </w:r>
    </w:p>
    <w:p>
      <w:pPr>
        <w:pStyle w:val="ListParagraph"/>
        <w:numPr>
          <w:ilvl w:val="0"/>
          <w:numId w:val="7"/>
        </w:numPr>
        <w:spacing w:lineRule="auto" w:line="240"/>
        <w:rPr>
          <w:rFonts w:ascii="ISOCPEUR" w:hAnsi="ISOCPEUR"/>
          <w:sz w:val="22"/>
          <w:szCs w:val="22"/>
        </w:rPr>
      </w:pPr>
      <w:r>
        <w:rPr>
          <w:rFonts w:ascii="ISOCPEUR" w:hAnsi="ISOCPEUR"/>
          <w:sz w:val="22"/>
          <w:szCs w:val="22"/>
        </w:rPr>
        <w:t>osuszacz kondensacyjny o wydajności min. 20l/dobę,</w:t>
      </w:r>
    </w:p>
    <w:p>
      <w:pPr>
        <w:pStyle w:val="ListParagraph"/>
        <w:numPr>
          <w:ilvl w:val="0"/>
          <w:numId w:val="7"/>
        </w:numPr>
        <w:spacing w:lineRule="auto" w:line="240"/>
        <w:rPr>
          <w:rFonts w:ascii="ISOCPEUR" w:hAnsi="ISOCPEUR"/>
          <w:sz w:val="22"/>
          <w:szCs w:val="22"/>
        </w:rPr>
      </w:pPr>
      <w:r>
        <w:rPr>
          <w:rFonts w:ascii="ISOCPEUR" w:hAnsi="ISOCPEUR"/>
          <w:sz w:val="22"/>
          <w:szCs w:val="22"/>
        </w:rPr>
        <w:t>konstrukcja ze stali nierdzewnej,</w:t>
      </w:r>
    </w:p>
    <w:p>
      <w:pPr>
        <w:pStyle w:val="ListParagraph"/>
        <w:numPr>
          <w:ilvl w:val="0"/>
          <w:numId w:val="7"/>
        </w:numPr>
        <w:spacing w:lineRule="auto" w:line="240"/>
        <w:rPr>
          <w:rFonts w:ascii="ISOCPEUR" w:hAnsi="ISOCPEUR"/>
          <w:sz w:val="22"/>
          <w:szCs w:val="22"/>
        </w:rPr>
      </w:pPr>
      <w:r>
        <w:rPr>
          <w:rFonts w:ascii="ISOCPEUR" w:hAnsi="ISOCPEUR"/>
          <w:sz w:val="22"/>
          <w:szCs w:val="22"/>
        </w:rPr>
        <w:t>licznik czasu pracy,</w:t>
      </w:r>
    </w:p>
    <w:p>
      <w:pPr>
        <w:pStyle w:val="ListParagraph"/>
        <w:numPr>
          <w:ilvl w:val="0"/>
          <w:numId w:val="7"/>
        </w:numPr>
        <w:spacing w:lineRule="auto" w:line="240"/>
        <w:rPr>
          <w:rFonts w:ascii="ISOCPEUR" w:hAnsi="ISOCPEUR"/>
          <w:sz w:val="22"/>
          <w:szCs w:val="22"/>
        </w:rPr>
      </w:pPr>
      <w:r>
        <w:rPr>
          <w:rFonts w:ascii="ISOCPEUR" w:hAnsi="ISOCPEUR"/>
          <w:sz w:val="22"/>
          <w:szCs w:val="22"/>
        </w:rPr>
        <w:t>króciec odprowadzenia skroplin,</w:t>
      </w:r>
    </w:p>
    <w:p>
      <w:pPr>
        <w:pStyle w:val="ListParagraph"/>
        <w:numPr>
          <w:ilvl w:val="0"/>
          <w:numId w:val="7"/>
        </w:numPr>
        <w:spacing w:lineRule="auto" w:line="240"/>
        <w:rPr>
          <w:rFonts w:ascii="ISOCPEUR" w:hAnsi="ISOCPEUR"/>
          <w:sz w:val="22"/>
          <w:szCs w:val="22"/>
        </w:rPr>
      </w:pPr>
      <w:r>
        <w:rPr>
          <w:rFonts w:ascii="ISOCPEUR" w:hAnsi="ISOCPEUR"/>
          <w:sz w:val="22"/>
          <w:szCs w:val="22"/>
        </w:rPr>
        <w:t>max. pobór mocy 420W,</w:t>
      </w:r>
    </w:p>
    <w:p>
      <w:pPr>
        <w:pStyle w:val="ListParagraph"/>
        <w:numPr>
          <w:ilvl w:val="0"/>
          <w:numId w:val="7"/>
        </w:numPr>
        <w:spacing w:lineRule="auto" w:line="240"/>
        <w:rPr>
          <w:rFonts w:ascii="ISOCPEUR" w:hAnsi="ISOCPEUR"/>
          <w:sz w:val="22"/>
          <w:szCs w:val="22"/>
        </w:rPr>
      </w:pPr>
      <w:r>
        <w:rPr>
          <w:rFonts w:eastAsia="" w:cs="" w:ascii="ISOCPEUR" w:hAnsi="ISOCPEUR" w:cstheme="minorBidi" w:eastAsiaTheme="minorEastAsia"/>
          <w:color w:val="auto"/>
          <w:kern w:val="0"/>
          <w:sz w:val="22"/>
          <w:szCs w:val="22"/>
          <w:lang w:val="pl-PL" w:eastAsia="en-US" w:bidi="ar-SA"/>
        </w:rPr>
        <w:t>zasilanie 230V</w:t>
      </w:r>
    </w:p>
    <w:p>
      <w:pPr>
        <w:pStyle w:val="Nagwek3"/>
        <w:spacing w:lineRule="auto" w:line="360"/>
        <w:rPr>
          <w:rFonts w:ascii="ISOCPEUR" w:hAnsi="ISOCPEUR"/>
        </w:rPr>
      </w:pPr>
      <w:bookmarkStart w:id="63" w:name="__RefHeading___Toc6634_147198277611"/>
      <w:bookmarkEnd w:id="63"/>
      <w:r>
        <w:rPr>
          <w:rFonts w:eastAsia="" w:cs="" w:ascii="ISOCPEUR" w:hAnsi="ISOCPEUR" w:cstheme="majorBidi" w:eastAsiaTheme="majorEastAsia"/>
          <w:b/>
          <w:bCs/>
          <w:smallCaps/>
          <w:color w:val="000000" w:themeColor="text1"/>
          <w:kern w:val="0"/>
          <w:sz w:val="22"/>
          <w:szCs w:val="22"/>
          <w:lang w:val="pl-PL" w:eastAsia="en-US" w:bidi="ar-SA"/>
        </w:rPr>
        <w:t>ROZDZIELNICA TECHNOLOGICZNA</w:t>
      </w:r>
      <w:r>
        <w:rPr>
          <w:rFonts w:eastAsia="" w:cs="" w:ascii="ISOCPEUR" w:hAnsi="ISOCPEUR" w:cstheme="minorBidi" w:eastAsiaTheme="minorEastAsia"/>
          <w:color w:val="auto"/>
          <w:kern w:val="0"/>
          <w:sz w:val="22"/>
          <w:szCs w:val="22"/>
          <w:lang w:val="pl-PL" w:eastAsia="en-US" w:bidi="ar-SA"/>
        </w:rPr>
        <w:t xml:space="preserve"> </w:t>
      </w:r>
    </w:p>
    <w:p>
      <w:pPr>
        <w:pStyle w:val="ListParagraph"/>
        <w:numPr>
          <w:ilvl w:val="0"/>
          <w:numId w:val="0"/>
        </w:numPr>
        <w:spacing w:lineRule="auto" w:line="360"/>
        <w:ind w:left="0" w:hanging="0"/>
        <w:rPr>
          <w:rFonts w:ascii="ISOCPEUR" w:hAnsi="ISOCPEUR"/>
        </w:rPr>
      </w:pPr>
      <w:r>
        <w:rPr>
          <w:rFonts w:ascii="ISOCPEUR" w:hAnsi="ISOCPEUR"/>
        </w:rPr>
        <w:t xml:space="preserve">Rozdzielnica Technologiczna jest rozdzielnią zawierającą urządzenia pośrednie dla elementów elektrycznych Stacji Uzdatniania Wody. Zasilana </w:t>
      </w:r>
      <w:r>
        <w:rPr>
          <w:rFonts w:eastAsia="" w:cs="" w:ascii="ISOCPEUR" w:hAnsi="ISOCPEUR" w:cstheme="minorBidi" w:eastAsiaTheme="minorEastAsia"/>
          <w:color w:val="auto"/>
          <w:kern w:val="0"/>
          <w:sz w:val="22"/>
          <w:szCs w:val="22"/>
          <w:lang w:val="pl-PL" w:eastAsia="en-US" w:bidi="ar-SA"/>
        </w:rPr>
        <w:t>będzie</w:t>
      </w:r>
      <w:r>
        <w:rPr>
          <w:rFonts w:ascii="ISOCPEUR" w:hAnsi="ISOCPEUR"/>
        </w:rPr>
        <w:t xml:space="preserve"> z rozdzielni głównej energetycznej napięciem 3x380V. Zawiera ona w sobie zasilanie i sterowanie pomp</w:t>
      </w:r>
      <w:r>
        <w:rPr>
          <w:rFonts w:eastAsia="" w:cs="" w:ascii="ISOCPEUR" w:hAnsi="ISOCPEUR" w:cstheme="minorBidi" w:eastAsiaTheme="minorEastAsia"/>
          <w:color w:val="auto"/>
          <w:kern w:val="0"/>
          <w:sz w:val="22"/>
          <w:szCs w:val="22"/>
          <w:lang w:val="pl-PL" w:eastAsia="en-US" w:bidi="ar-SA"/>
        </w:rPr>
        <w:t>ą</w:t>
      </w:r>
      <w:r>
        <w:rPr>
          <w:rFonts w:ascii="ISOCPEUR" w:hAnsi="ISOCPEUR"/>
        </w:rPr>
        <w:t xml:space="preserve"> głębinową, przepustnicami, elektrozaworami, dmuchawą. Znajdują się w niej również zabezpieczenia zwarciowe, różnicowo-prądowe i zabezpieczenia termiczne dla sterowanych urządzeń. Jest ona także miejscem przyłączenia wszelkich elementów pomiarowo - kontrolnych takich jak czujnik poziomu wody w studni głębinowej, przepływomierzy ultradźwiękowych oraz prądowych przetworników ciśnienia. Na drzwiach rozdzielni zamontowany </w:t>
      </w:r>
      <w:r>
        <w:rPr>
          <w:rFonts w:eastAsia="" w:cs="" w:ascii="ISOCPEUR" w:hAnsi="ISOCPEUR" w:cstheme="minorBidi" w:eastAsiaTheme="minorEastAsia"/>
          <w:color w:val="auto"/>
          <w:kern w:val="0"/>
          <w:sz w:val="22"/>
          <w:szCs w:val="22"/>
          <w:lang w:val="pl-PL" w:eastAsia="en-US" w:bidi="ar-SA"/>
        </w:rPr>
        <w:t>będzie</w:t>
      </w:r>
      <w:r>
        <w:rPr>
          <w:rFonts w:ascii="ISOCPEUR" w:hAnsi="ISOCPEUR"/>
        </w:rPr>
        <w:t xml:space="preserve"> kolorowy panel dotykowy, dzięki któremu </w:t>
      </w:r>
      <w:r>
        <w:rPr>
          <w:rFonts w:eastAsia="" w:cs="" w:ascii="ISOCPEUR" w:hAnsi="ISOCPEUR" w:cstheme="minorBidi" w:eastAsiaTheme="minorEastAsia"/>
          <w:color w:val="auto"/>
          <w:kern w:val="0"/>
          <w:sz w:val="22"/>
          <w:szCs w:val="22"/>
          <w:lang w:val="pl-PL" w:eastAsia="en-US" w:bidi="ar-SA"/>
        </w:rPr>
        <w:t>będzie możliwość</w:t>
      </w:r>
      <w:r>
        <w:rPr>
          <w:rFonts w:ascii="ISOCPEUR" w:hAnsi="ISOCPEUR"/>
        </w:rPr>
        <w:t xml:space="preserve"> sterowania pracą całej stacji z wyłączeniem agregatu sprężarkowego, który posiada własny regulator. Szafę technologiczną wyposaż</w:t>
      </w:r>
      <w:r>
        <w:rPr>
          <w:rFonts w:eastAsia="" w:cs="" w:ascii="ISOCPEUR" w:hAnsi="ISOCPEUR" w:cstheme="minorBidi" w:eastAsiaTheme="minorEastAsia"/>
          <w:color w:val="auto"/>
          <w:kern w:val="0"/>
          <w:sz w:val="22"/>
          <w:szCs w:val="22"/>
          <w:lang w:val="pl-PL" w:eastAsia="en-US" w:bidi="ar-SA"/>
        </w:rPr>
        <w:t>yć</w:t>
      </w:r>
      <w:r>
        <w:rPr>
          <w:rFonts w:ascii="ISOCPEUR" w:hAnsi="ISOCPEUR"/>
        </w:rPr>
        <w:t xml:space="preserve"> należy w swobodnie programowalny sterownik, który </w:t>
      </w:r>
      <w:r>
        <w:rPr>
          <w:rFonts w:eastAsia="" w:cs="" w:ascii="ISOCPEUR" w:hAnsi="ISOCPEUR" w:cstheme="minorBidi" w:eastAsiaTheme="minorEastAsia"/>
          <w:color w:val="auto"/>
          <w:kern w:val="0"/>
          <w:sz w:val="22"/>
          <w:szCs w:val="22"/>
          <w:lang w:val="pl-PL" w:eastAsia="en-US" w:bidi="ar-SA"/>
        </w:rPr>
        <w:t>będzie służył</w:t>
      </w:r>
      <w:r>
        <w:rPr>
          <w:rFonts w:ascii="ISOCPEUR" w:hAnsi="ISOCPEUR"/>
        </w:rPr>
        <w:t xml:space="preserve"> do sterowania pracą urządzeń technologicznych. Sterownik musi posiadać możliwość komunikacji za pomocą Profibus-DP. </w:t>
      </w:r>
    </w:p>
    <w:p>
      <w:pPr>
        <w:pStyle w:val="ListParagraph"/>
        <w:numPr>
          <w:ilvl w:val="0"/>
          <w:numId w:val="0"/>
        </w:numPr>
        <w:spacing w:lineRule="auto" w:line="360"/>
        <w:ind w:left="0" w:hanging="0"/>
        <w:rPr>
          <w:rFonts w:ascii="ISOCPEUR" w:hAnsi="ISOCPEUR"/>
        </w:rPr>
      </w:pPr>
      <w:r>
        <w:rPr>
          <w:rFonts w:ascii="ISOCPEUR" w:hAnsi="ISOCPEUR"/>
        </w:rPr>
        <w:t xml:space="preserve">Sterownik swobodnie programowalny wystawia odpowiednie sygnały sterujące włączające i wyłączające określone urządzenia na podstawie sygnałów otrzymywanych z czujników, przepływomierzy, prądowych przetworników ciśnienia oraz programu wewnętrznego jak i wewnętrznego programowalnego zegara wyznaczającego rozpoczęcie procesu płukania. </w:t>
        <w:br/>
        <w:t>Projektowan</w:t>
      </w:r>
      <w:r>
        <w:rPr>
          <w:rFonts w:eastAsia="" w:cs="" w:ascii="ISOCPEUR" w:hAnsi="ISOCPEUR" w:cstheme="minorBidi" w:eastAsiaTheme="minorEastAsia"/>
          <w:color w:val="auto"/>
          <w:kern w:val="0"/>
          <w:sz w:val="22"/>
          <w:szCs w:val="22"/>
          <w:lang w:val="pl-PL" w:eastAsia="en-US" w:bidi="ar-SA"/>
        </w:rPr>
        <w:t xml:space="preserve">y remont </w:t>
      </w:r>
      <w:r>
        <w:rPr>
          <w:rFonts w:ascii="ISOCPEUR" w:hAnsi="ISOCPEUR"/>
        </w:rPr>
        <w:t>technologii stacji uzdatniania wody, będzie pozwalał na  pracę w trybie automatycznym. Pracą zarządzać będzie sterownik swobodnie programowalny zapewniający automatyczne działanie procesów technologicznych. Po przepompowaniu zadanej ilości wody ze studni głębinow</w:t>
      </w:r>
      <w:r>
        <w:rPr>
          <w:rFonts w:eastAsia="" w:cs="" w:ascii="ISOCPEUR" w:hAnsi="ISOCPEUR" w:cstheme="minorBidi" w:eastAsiaTheme="minorEastAsia"/>
          <w:color w:val="auto"/>
          <w:kern w:val="0"/>
          <w:sz w:val="22"/>
          <w:szCs w:val="22"/>
          <w:lang w:val="pl-PL" w:eastAsia="en-US" w:bidi="ar-SA"/>
        </w:rPr>
        <w:t>ej</w:t>
      </w:r>
      <w:r>
        <w:rPr>
          <w:rFonts w:ascii="ISOCPEUR" w:hAnsi="ISOCPEUR"/>
        </w:rPr>
        <w:t xml:space="preserve"> lub upłynięciu określonej liczby dni, sterownik realizuje automatycznie cały proces płukania filtrów ze wskazaniem na okres nocny, a także uwzględnieniem braku jednoczesności płukania pojedynczego zestawu.</w:t>
      </w:r>
    </w:p>
    <w:p>
      <w:pPr>
        <w:pStyle w:val="ListParagraph"/>
        <w:numPr>
          <w:ilvl w:val="0"/>
          <w:numId w:val="0"/>
        </w:numPr>
        <w:spacing w:lineRule="auto" w:line="240"/>
        <w:ind w:left="1440" w:hanging="0"/>
        <w:rPr>
          <w:rFonts w:ascii="ISOCPEUR" w:hAnsi="ISOCPEUR"/>
        </w:rPr>
      </w:pPr>
      <w:r>
        <w:rPr>
          <w:rFonts w:ascii="ISOCPEUR" w:hAnsi="ISOCPEUR"/>
        </w:rPr>
      </w:r>
    </w:p>
    <w:p>
      <w:pPr>
        <w:pStyle w:val="Nagwek1"/>
        <w:spacing w:lineRule="auto" w:line="360"/>
        <w:rPr>
          <w:rFonts w:ascii="ISOCPEUR" w:hAnsi="ISOCPEUR"/>
        </w:rPr>
      </w:pPr>
      <w:bookmarkStart w:id="64" w:name="__RefHeading___Toc6654_1471982776"/>
      <w:bookmarkStart w:id="65" w:name="_Toc170479564"/>
      <w:bookmarkStart w:id="66" w:name="_Toc183083965"/>
      <w:bookmarkStart w:id="67" w:name="_Toc185095292"/>
      <w:bookmarkEnd w:id="64"/>
      <w:r>
        <w:rPr>
          <w:rFonts w:ascii="ISOCPEUR" w:hAnsi="ISOCPEUR"/>
        </w:rPr>
        <w:t>technologia wykonania robót</w:t>
      </w:r>
      <w:bookmarkEnd w:id="65"/>
      <w:bookmarkEnd w:id="66"/>
      <w:bookmarkEnd w:id="67"/>
    </w:p>
    <w:p>
      <w:pPr>
        <w:pStyle w:val="Nagwek2"/>
        <w:spacing w:lineRule="auto" w:line="360" w:before="120" w:after="240"/>
        <w:ind w:left="578" w:hanging="578"/>
        <w:rPr>
          <w:rFonts w:ascii="ISOCPEUR" w:hAnsi="ISOCPEUR" w:eastAsia="" w:cs="" w:cstheme="majorBidi" w:eastAsiaTheme="majorEastAsia"/>
          <w:b/>
          <w:b/>
          <w:bCs/>
          <w:smallCaps/>
          <w:color w:val="000000" w:themeColor="text1"/>
          <w:sz w:val="24"/>
          <w:szCs w:val="28"/>
        </w:rPr>
      </w:pPr>
      <w:bookmarkStart w:id="68" w:name="__RefHeading___Toc6656_1471982776"/>
      <w:bookmarkStart w:id="69" w:name="_Toc170479565"/>
      <w:bookmarkStart w:id="70" w:name="_Toc183083966"/>
      <w:bookmarkStart w:id="71" w:name="_Toc185095293"/>
      <w:bookmarkEnd w:id="68"/>
      <w:r>
        <w:rPr>
          <w:rFonts w:eastAsia="" w:cs="" w:ascii="ISOCPEUR" w:hAnsi="ISOCPEUR" w:cstheme="majorBidi" w:eastAsiaTheme="majorEastAsia"/>
          <w:b/>
          <w:bCs/>
          <w:smallCaps/>
          <w:color w:val="000000" w:themeColor="text1"/>
          <w:sz w:val="24"/>
          <w:szCs w:val="28"/>
        </w:rPr>
        <w:t>M</w:t>
      </w:r>
      <w:bookmarkEnd w:id="69"/>
      <w:bookmarkEnd w:id="70"/>
      <w:bookmarkEnd w:id="71"/>
      <w:r>
        <w:rPr>
          <w:rFonts w:eastAsia="" w:cs="" w:ascii="ISOCPEUR" w:hAnsi="ISOCPEUR" w:cstheme="majorBidi" w:eastAsiaTheme="majorEastAsia"/>
          <w:b/>
          <w:bCs/>
          <w:smallCaps/>
          <w:color w:val="000000" w:themeColor="text1"/>
          <w:sz w:val="24"/>
          <w:szCs w:val="28"/>
        </w:rPr>
        <w:t>ontaż rurociągów technologicznych i armatury</w:t>
      </w:r>
    </w:p>
    <w:p>
      <w:pPr>
        <w:pStyle w:val="Normal"/>
        <w:spacing w:lineRule="auto" w:line="360"/>
        <w:rPr>
          <w:rFonts w:ascii="ISOCPEUR" w:hAnsi="ISOCPEUR"/>
        </w:rPr>
      </w:pPr>
      <w:r>
        <w:rPr>
          <w:rFonts w:ascii="ISOCPEUR" w:hAnsi="ISOCPEUR"/>
        </w:rPr>
        <w:t>Wszystkie rurociągi technologiczne, kołnierze i śruby wykonane ze stali kwasoodpornej 1.4301 (X5CrNi 18-10) zgodnie z PN-EN 10088-1. Odcinki montażowe (przyłączenie króćca wody uzdatnionej) wykonać z ze stali kwasoodpornej 1.4301 X5CrNi 18-10 (1.4301) zgodnie z PN-EN 10088-1. Na kolektorach przyłączeniowych do sterylizatora UV, należy zamontować kołnierze luźne w wykonaniu na ciśnienie nominalne PN10 umożliwiające łatwy montaż instalacji przyłączeniowej z obu stron.</w:t>
      </w:r>
    </w:p>
    <w:p>
      <w:pPr>
        <w:pStyle w:val="Normal"/>
        <w:spacing w:lineRule="auto" w:line="240"/>
        <w:rPr>
          <w:rFonts w:ascii="ISOCPEUR" w:hAnsi="ISOCPEUR"/>
        </w:rPr>
      </w:pPr>
      <w:r>
        <w:rPr>
          <w:rFonts w:ascii="ISOCPEUR" w:hAnsi="ISOCPEUR"/>
        </w:rPr>
        <w:t>Specyfikacja projektowanych rurociągów:</w:t>
      </w:r>
    </w:p>
    <w:p>
      <w:pPr>
        <w:pStyle w:val="Normal"/>
        <w:spacing w:lineRule="auto" w:line="240"/>
        <w:rPr>
          <w:rFonts w:ascii="ISOCPEUR" w:hAnsi="ISOCPEUR"/>
        </w:rPr>
      </w:pPr>
      <w:r>
        <w:rPr>
          <w:rFonts w:ascii="ISOCPEUR" w:hAnsi="ISOCPEUR"/>
        </w:rPr>
        <w:t>- nominalne ciśnienie pracy PN16</w:t>
      </w:r>
    </w:p>
    <w:p>
      <w:pPr>
        <w:pStyle w:val="Normal"/>
        <w:spacing w:lineRule="auto" w:line="240"/>
        <w:rPr>
          <w:rFonts w:ascii="ISOCPEUR" w:hAnsi="ISOCPEUR"/>
        </w:rPr>
      </w:pPr>
      <w:r>
        <w:rPr>
          <w:rFonts w:ascii="ISOCPEUR" w:hAnsi="ISOCPEUR"/>
        </w:rPr>
        <w:t>- grubości ścianek: rurociąg DN 25 – DN 200 – 2 mm</w:t>
      </w:r>
    </w:p>
    <w:p>
      <w:pPr>
        <w:pStyle w:val="Normal"/>
        <w:spacing w:lineRule="auto" w:line="360"/>
        <w:rPr>
          <w:rFonts w:ascii="ISOCPEUR" w:hAnsi="ISOCPEUR"/>
        </w:rPr>
      </w:pPr>
      <w:r>
        <w:rPr>
          <w:rFonts w:ascii="ISOCPEUR" w:hAnsi="ISOCPEUR"/>
        </w:rPr>
        <w:t xml:space="preserve">Na rurociągach w wykonaniu ze stali kwasoodpornej 1.4301, wymaga się stosowania kołnierzy łączeniowych w wykonaniu ze stali kwasoodpornej 1.4301. Kołnierze należy osadzać na rurociągach zakończonych wyobleniem jako „luźne" i łączyć za pomocą śrub w wykonaniu ze stali kwasoodpornej 1.4301 wg PE-EN 10088-1. Takie rozwiązanie zapewni odpowiednią łatwość montażu i demontażu oraz ograniczy powstawanie naprężeń przenoszonych na instalację. </w:t>
      </w:r>
    </w:p>
    <w:p>
      <w:pPr>
        <w:pStyle w:val="Normal"/>
        <w:spacing w:lineRule="auto" w:line="360"/>
        <w:rPr>
          <w:rFonts w:ascii="ISOCPEUR" w:hAnsi="ISOCPEUR"/>
        </w:rPr>
      </w:pPr>
      <w:r>
        <w:rPr>
          <w:rFonts w:ascii="ISOCPEUR" w:hAnsi="ISOCPEUR"/>
        </w:rPr>
        <w:tab/>
        <w:t xml:space="preserve">Wykonawca prac spawalniczych zobowiązany jest do posiadania i dostarczenia następujących dokumentów: </w:t>
      </w:r>
    </w:p>
    <w:p>
      <w:pPr>
        <w:pStyle w:val="Normal"/>
        <w:spacing w:lineRule="auto" w:line="240"/>
        <w:rPr>
          <w:rFonts w:ascii="ISOCPEUR" w:hAnsi="ISOCPEUR"/>
        </w:rPr>
      </w:pPr>
      <w:r>
        <w:rPr>
          <w:rFonts w:ascii="ISOCPEUR" w:hAnsi="ISOCPEUR"/>
        </w:rPr>
        <w:t xml:space="preserve">• </w:t>
      </w:r>
      <w:r>
        <w:rPr>
          <w:rFonts w:ascii="ISOCPEUR" w:hAnsi="ISOCPEUR"/>
        </w:rPr>
        <w:t>kopia certyfikatu EN-ISO 3834-2 wystawionego przez jednostkę akredytowaną i notyfikowaną;</w:t>
      </w:r>
    </w:p>
    <w:p>
      <w:pPr>
        <w:pStyle w:val="Normal"/>
        <w:spacing w:lineRule="auto" w:line="240"/>
        <w:rPr>
          <w:rFonts w:ascii="ISOCPEUR" w:hAnsi="ISOCPEUR"/>
        </w:rPr>
      </w:pPr>
      <w:r>
        <w:rPr>
          <w:rFonts w:ascii="ISOCPEUR" w:hAnsi="ISOCPEUR"/>
        </w:rPr>
        <w:t xml:space="preserve">• </w:t>
      </w:r>
      <w:r>
        <w:rPr>
          <w:rFonts w:ascii="ISOCPEUR" w:hAnsi="ISOCPEUR"/>
        </w:rPr>
        <w:t>atesty hutnicze 3.1 oraz deklaracje zgodności na materiały podstawowe i dodatkowe;</w:t>
      </w:r>
    </w:p>
    <w:p>
      <w:pPr>
        <w:pStyle w:val="Normal"/>
        <w:spacing w:lineRule="auto" w:line="240"/>
        <w:rPr>
          <w:rFonts w:ascii="ISOCPEUR" w:hAnsi="ISOCPEUR"/>
        </w:rPr>
      </w:pPr>
      <w:r>
        <w:rPr>
          <w:rFonts w:ascii="ISOCPEUR" w:hAnsi="ISOCPEUR"/>
        </w:rPr>
        <w:t xml:space="preserve">• </w:t>
      </w:r>
      <w:r>
        <w:rPr>
          <w:rFonts w:ascii="ISOCPEUR" w:hAnsi="ISOCPEUR"/>
        </w:rPr>
        <w:t xml:space="preserve">protokół/protokoły z badań wizualnych (VT); </w:t>
      </w:r>
    </w:p>
    <w:p>
      <w:pPr>
        <w:pStyle w:val="Normal"/>
        <w:spacing w:lineRule="auto" w:line="240"/>
        <w:rPr>
          <w:rFonts w:ascii="ISOCPEUR" w:hAnsi="ISOCPEUR"/>
        </w:rPr>
      </w:pPr>
      <w:r>
        <w:rPr>
          <w:rFonts w:ascii="ISOCPEUR" w:hAnsi="ISOCPEUR"/>
        </w:rPr>
        <w:t xml:space="preserve">• </w:t>
      </w:r>
      <w:r>
        <w:rPr>
          <w:rFonts w:ascii="ISOCPEUR" w:hAnsi="ISOCPEUR"/>
        </w:rPr>
        <w:t xml:space="preserve">instrukcje technologiczne spawania (WPS); </w:t>
      </w:r>
    </w:p>
    <w:p>
      <w:pPr>
        <w:pStyle w:val="Normal"/>
        <w:spacing w:lineRule="auto" w:line="240"/>
        <w:rPr>
          <w:rFonts w:ascii="ISOCPEUR" w:hAnsi="ISOCPEUR"/>
        </w:rPr>
      </w:pPr>
      <w:r>
        <w:rPr>
          <w:rFonts w:ascii="ISOCPEUR" w:hAnsi="ISOCPEUR"/>
        </w:rPr>
        <w:t xml:space="preserve">• </w:t>
      </w:r>
      <w:r>
        <w:rPr>
          <w:rFonts w:ascii="ISOCPEUR" w:hAnsi="ISOCPEUR"/>
        </w:rPr>
        <w:t xml:space="preserve">dzienniki spawania; </w:t>
      </w:r>
    </w:p>
    <w:p>
      <w:pPr>
        <w:pStyle w:val="Normal"/>
        <w:spacing w:lineRule="auto" w:line="240"/>
        <w:rPr>
          <w:rFonts w:ascii="ISOCPEUR" w:hAnsi="ISOCPEUR"/>
        </w:rPr>
      </w:pPr>
      <w:r>
        <w:rPr>
          <w:rFonts w:ascii="ISOCPEUR" w:hAnsi="ISOCPEUR"/>
        </w:rPr>
        <w:t xml:space="preserve">• </w:t>
      </w:r>
      <w:r>
        <w:rPr>
          <w:rFonts w:ascii="ISOCPEUR" w:hAnsi="ISOCPEUR"/>
        </w:rPr>
        <w:t xml:space="preserve">lista spawaczy wraz z kopią uprawnień; </w:t>
      </w:r>
    </w:p>
    <w:p>
      <w:pPr>
        <w:pStyle w:val="Normal"/>
        <w:spacing w:lineRule="auto" w:line="240"/>
        <w:rPr>
          <w:rFonts w:ascii="ISOCPEUR" w:hAnsi="ISOCPEUR"/>
        </w:rPr>
      </w:pPr>
      <w:r>
        <w:rPr>
          <w:rFonts w:ascii="ISOCPEUR" w:hAnsi="ISOCPEUR"/>
        </w:rPr>
        <w:t xml:space="preserve">• </w:t>
      </w:r>
      <w:r>
        <w:rPr>
          <w:rFonts w:ascii="ISOCPEUR" w:hAnsi="ISOCPEUR"/>
        </w:rPr>
        <w:t xml:space="preserve">lista personelu nadzoru spawalniczego wraz z kopią uprawnień; </w:t>
      </w:r>
    </w:p>
    <w:p>
      <w:pPr>
        <w:pStyle w:val="Normal"/>
        <w:spacing w:lineRule="auto" w:line="240"/>
        <w:rPr>
          <w:rFonts w:ascii="ISOCPEUR" w:hAnsi="ISOCPEUR"/>
        </w:rPr>
      </w:pPr>
      <w:r>
        <w:rPr>
          <w:rFonts w:ascii="ISOCPEUR" w:hAnsi="ISOCPEUR"/>
        </w:rPr>
        <w:t xml:space="preserve">• </w:t>
      </w:r>
      <w:r>
        <w:rPr>
          <w:rFonts w:ascii="ISOCPEUR" w:hAnsi="ISOCPEUR"/>
        </w:rPr>
        <w:t xml:space="preserve">protokół z kontroli wymiarowej konstrukcji spawanych; </w:t>
      </w:r>
    </w:p>
    <w:p>
      <w:pPr>
        <w:pStyle w:val="Normal"/>
        <w:spacing w:lineRule="auto" w:line="360"/>
        <w:rPr>
          <w:rFonts w:ascii="ISOCPEUR" w:hAnsi="ISOCPEUR"/>
        </w:rPr>
      </w:pPr>
      <w:r>
        <w:rPr>
          <w:rFonts w:ascii="ISOCPEUR" w:hAnsi="ISOCPEUR"/>
        </w:rPr>
      </w:r>
    </w:p>
    <w:p>
      <w:pPr>
        <w:pStyle w:val="Nagwek2"/>
        <w:spacing w:lineRule="auto" w:line="360" w:before="120" w:after="240"/>
        <w:ind w:left="578" w:hanging="578"/>
        <w:rPr>
          <w:rFonts w:ascii="ISOCPEUR" w:hAnsi="ISOCPEUR" w:eastAsia="" w:cs="" w:cstheme="majorBidi" w:eastAsiaTheme="majorEastAsia"/>
          <w:b/>
          <w:b/>
          <w:bCs/>
          <w:smallCaps/>
          <w:color w:val="000000" w:themeColor="text1"/>
          <w:sz w:val="24"/>
          <w:szCs w:val="28"/>
        </w:rPr>
      </w:pPr>
      <w:bookmarkStart w:id="72" w:name="__RefHeading___Toc6656_14719827761"/>
      <w:bookmarkStart w:id="73" w:name="_Toc1704795651"/>
      <w:bookmarkStart w:id="74" w:name="_Toc1830839661"/>
      <w:bookmarkStart w:id="75" w:name="_Toc1850952931"/>
      <w:bookmarkEnd w:id="72"/>
      <w:r>
        <w:rPr>
          <w:rFonts w:eastAsia="" w:cs="" w:ascii="ISOCPEUR" w:hAnsi="ISOCPEUR" w:cstheme="majorBidi" w:eastAsiaTheme="majorEastAsia"/>
          <w:b/>
          <w:bCs/>
          <w:smallCaps/>
          <w:color w:val="000000" w:themeColor="text1"/>
          <w:sz w:val="24"/>
          <w:szCs w:val="28"/>
        </w:rPr>
        <w:t>P</w:t>
      </w:r>
      <w:bookmarkEnd w:id="73"/>
      <w:bookmarkEnd w:id="74"/>
      <w:bookmarkEnd w:id="75"/>
      <w:r>
        <w:rPr>
          <w:rFonts w:eastAsia="" w:cs="" w:ascii="ISOCPEUR" w:hAnsi="ISOCPEUR" w:cstheme="majorBidi" w:eastAsiaTheme="majorEastAsia"/>
          <w:b/>
          <w:bCs/>
          <w:smallCaps/>
          <w:color w:val="000000" w:themeColor="text1"/>
          <w:sz w:val="24"/>
          <w:szCs w:val="28"/>
        </w:rPr>
        <w:t>róby i dezynfekcja</w:t>
      </w:r>
    </w:p>
    <w:p>
      <w:pPr>
        <w:pStyle w:val="Normal"/>
        <w:spacing w:lineRule="auto" w:line="360"/>
        <w:rPr>
          <w:rFonts w:ascii="ISOCPEUR" w:hAnsi="ISOCPEUR"/>
        </w:rPr>
      </w:pPr>
      <w:r>
        <w:rPr>
          <w:rFonts w:ascii="ISOCPEUR" w:hAnsi="ISOCPEUR"/>
        </w:rPr>
        <w:t xml:space="preserve">Po wykonaniu instalacji wodociągowych należy je przepłukać wodą z wodociągu, przy szybkości przepływu dostatecznej dla wypłukania wszystkich zanieczyszczeń mechanicznych. Po przepłukaniu przyłącza należy poddać próbie ciśnieniowej na ciśnienie 1,0MPa. Po przepłukaniu należy przeprowadzić dezynfekcję podchlorynem sodu. Po przeprowadzeniu dezynfekcji przyłącza należy powtórnie przepłukać wodą z wodociągu i pobrać próby do badań laboratoryjnych – analiza bakteriologiczna. </w:t>
      </w:r>
      <w:bookmarkStart w:id="76" w:name="_Hlk80191199"/>
    </w:p>
    <w:p>
      <w:pPr>
        <w:pStyle w:val="Nagwek1"/>
        <w:shd w:val="clear" w:color="auto" w:fill="auto"/>
        <w:spacing w:lineRule="auto" w:line="360"/>
        <w:rPr>
          <w:rFonts w:ascii="ISOCPEUR" w:hAnsi="ISOCPEUR"/>
        </w:rPr>
      </w:pPr>
      <w:bookmarkStart w:id="77" w:name="__RefHeading___Toc6664_1471982776"/>
      <w:bookmarkStart w:id="78" w:name="_Toc185095297"/>
      <w:bookmarkEnd w:id="77"/>
      <w:r>
        <w:rPr>
          <w:rFonts w:ascii="ISOCPEUR" w:hAnsi="ISOCPEUR"/>
        </w:rPr>
        <w:t>Informacja dotycząca Bezpieczeństwa i Ochrony Zdrowia</w:t>
      </w:r>
      <w:bookmarkEnd w:id="78"/>
    </w:p>
    <w:p>
      <w:pPr>
        <w:pStyle w:val="Nagwek2"/>
        <w:spacing w:lineRule="auto" w:line="360"/>
        <w:rPr>
          <w:rFonts w:ascii="ISOCPEUR" w:hAnsi="ISOCPEUR"/>
        </w:rPr>
      </w:pPr>
      <w:bookmarkStart w:id="79" w:name="__RefHeading___Toc6666_1471982776"/>
      <w:bookmarkStart w:id="80" w:name="_Toc185095298"/>
      <w:bookmarkEnd w:id="79"/>
      <w:r>
        <w:rPr>
          <w:rFonts w:ascii="ISOCPEUR" w:hAnsi="ISOCPEUR"/>
        </w:rPr>
        <w:t>Elementy zagospodarowania terenu mogące powodować zagrożenie podczas prowadzenia robót</w:t>
      </w:r>
      <w:bookmarkEnd w:id="80"/>
    </w:p>
    <w:p>
      <w:pPr>
        <w:pStyle w:val="Normal"/>
        <w:spacing w:lineRule="auto" w:line="360"/>
        <w:rPr>
          <w:rFonts w:ascii="ISOCPEUR" w:hAnsi="ISOCPEUR"/>
        </w:rPr>
      </w:pPr>
      <w:r>
        <w:rPr>
          <w:rFonts w:ascii="ISOCPEUR" w:hAnsi="ISOCPEUR"/>
        </w:rPr>
        <w:t xml:space="preserve">Projektowane - nie zaprojektowano elementów zagospodarowania terenu, które mogłyby stanowić zagrożenie podczas powadzenia robót. </w:t>
      </w:r>
    </w:p>
    <w:p>
      <w:pPr>
        <w:pStyle w:val="Nagwek2"/>
        <w:spacing w:lineRule="auto" w:line="360"/>
        <w:rPr>
          <w:rFonts w:ascii="ISOCPEUR" w:hAnsi="ISOCPEUR"/>
        </w:rPr>
      </w:pPr>
      <w:bookmarkStart w:id="81" w:name="__RefHeading___Toc6668_1471982776"/>
      <w:bookmarkStart w:id="82" w:name="_Toc185095299"/>
      <w:bookmarkEnd w:id="81"/>
      <w:r>
        <w:rPr>
          <w:rFonts w:ascii="ISOCPEUR" w:hAnsi="ISOCPEUR"/>
        </w:rPr>
        <w:t>informacje dotyczące przewidzianych zagrożeń występujących podczas realizacji robót budowlanych</w:t>
      </w:r>
      <w:bookmarkEnd w:id="82"/>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upadek z wysokości – możliwość wystąpienia w trakcie robót na wysokości i z rusztowania.</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mechaniczne uszkodzenia ciała – skala zagrożenia zależna od fachowości, doświadczenia i poziomu technicznego pracowników: stłuczenia, okaleczenia</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porażenie prądem – możliwość wystąpienia przy obsłudze sprzętu i urządzeń budowlanych.</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naświetlenie oczu – przy pracach spawalniczych </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uszkodzenia ciała spadającymi z wysokości przedmiotami</w:t>
      </w:r>
    </w:p>
    <w:p>
      <w:pPr>
        <w:pStyle w:val="Nagwek2"/>
        <w:spacing w:lineRule="auto" w:line="360"/>
        <w:rPr>
          <w:rFonts w:ascii="ISOCPEUR" w:hAnsi="ISOCPEUR"/>
        </w:rPr>
      </w:pPr>
      <w:bookmarkStart w:id="83" w:name="__RefHeading___Toc6670_1471982776"/>
      <w:bookmarkStart w:id="84" w:name="_Toc185095300"/>
      <w:bookmarkEnd w:id="83"/>
      <w:r>
        <w:rPr>
          <w:rFonts w:ascii="ISOCPEUR" w:hAnsi="ISOCPEUR"/>
        </w:rPr>
        <w:t>Sposób prowadzenia instruktażu</w:t>
      </w:r>
      <w:bookmarkEnd w:id="84"/>
    </w:p>
    <w:p>
      <w:pPr>
        <w:pStyle w:val="Normal"/>
        <w:spacing w:lineRule="auto" w:line="360"/>
        <w:rPr>
          <w:rFonts w:ascii="ISOCPEUR" w:hAnsi="ISOCPEUR"/>
        </w:rPr>
      </w:pPr>
      <w:r>
        <w:rPr>
          <w:rFonts w:ascii="ISOCPEUR" w:hAnsi="ISOCPEUR"/>
        </w:rPr>
        <w:t>Brak robót niebezpiecznych. Wszystkie prace wymagają jedynie właściwej, podstawowej znajomości przepisów BHP i przeszkolenia określonego przepisami odrębnymi, dlatego należy precyzyjnie:</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opracować i uzgodnić technologię wszystkich istotnych robót</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określić wszystkie możliwe przyczyny i zakres zagrożenia</w:t>
      </w:r>
    </w:p>
    <w:p>
      <w:pPr>
        <w:pStyle w:val="Normal"/>
        <w:spacing w:lineRule="auto" w:line="360"/>
        <w:rPr>
          <w:rFonts w:ascii="ISOCPEUR" w:hAnsi="ISOCPEUR"/>
        </w:rPr>
      </w:pPr>
      <w:r>
        <w:rPr>
          <w:rFonts w:ascii="ISOCPEUR" w:hAnsi="ISOCPEUR"/>
        </w:rPr>
        <w:t>Każdy pracownik kierowany do robót szczególnie niebezpiecznych winien przejść, oprócz obowiązkowych szkoleń BHP, odpowiedni instruktaż poprzedzający przystąpienie do robót niebezpiecznych o danym profilu zagrożeń. Instruktaż związany z robotami szczególnie niebezpiecznymi powinien zapewnić wiadomości i praktyczne umiejętności z zakresu bezpiecznego wykonywania powierzonej pracy.</w:t>
      </w:r>
    </w:p>
    <w:p>
      <w:pPr>
        <w:pStyle w:val="Nagwek2"/>
        <w:spacing w:lineRule="auto" w:line="360"/>
        <w:rPr>
          <w:rFonts w:ascii="ISOCPEUR" w:hAnsi="ISOCPEUR"/>
        </w:rPr>
      </w:pPr>
      <w:bookmarkStart w:id="85" w:name="__RefHeading___Toc6672_1471982776"/>
      <w:bookmarkStart w:id="86" w:name="_Toc185095301"/>
      <w:bookmarkEnd w:id="85"/>
      <w:r>
        <w:rPr>
          <w:rFonts w:ascii="ISOCPEUR" w:hAnsi="ISOCPEUR"/>
        </w:rPr>
        <w:t>Środki techniczne i organizacyjne zapobiegające niebezpieczeństwom wynikającym z wykonania robót budowlanych</w:t>
      </w:r>
      <w:bookmarkEnd w:id="86"/>
    </w:p>
    <w:p>
      <w:pPr>
        <w:pStyle w:val="Tytu"/>
        <w:numPr>
          <w:ilvl w:val="0"/>
          <w:numId w:val="2"/>
        </w:numPr>
        <w:spacing w:lineRule="auto" w:line="360"/>
        <w:ind w:left="567" w:hanging="360"/>
        <w:rPr>
          <w:rFonts w:ascii="ISOCPEUR" w:hAnsi="ISOCPEUR"/>
        </w:rPr>
      </w:pPr>
      <w:r>
        <w:rPr>
          <w:rFonts w:ascii="ISOCPEUR" w:hAnsi="ISOCPEUR"/>
        </w:rPr>
        <w:t>stosować przepisy BHP dla budownictwa i poszczególnych rodzajów robót.</w:t>
      </w:r>
    </w:p>
    <w:p>
      <w:pPr>
        <w:pStyle w:val="Tytu"/>
        <w:numPr>
          <w:ilvl w:val="0"/>
          <w:numId w:val="2"/>
        </w:numPr>
        <w:spacing w:lineRule="auto" w:line="360"/>
        <w:ind w:left="567" w:hanging="360"/>
        <w:rPr>
          <w:rFonts w:ascii="ISOCPEUR" w:hAnsi="ISOCPEUR"/>
        </w:rPr>
      </w:pPr>
      <w:r>
        <w:rPr>
          <w:rFonts w:ascii="ISOCPEUR" w:hAnsi="ISOCPEUR"/>
        </w:rPr>
        <w:t>wykonać bariery ochronne – wydzielenie strefy robót oraz wszystkich różnic poziomów powyżej 0,5m.</w:t>
      </w:r>
    </w:p>
    <w:p>
      <w:pPr>
        <w:pStyle w:val="Tytu"/>
        <w:numPr>
          <w:ilvl w:val="0"/>
          <w:numId w:val="2"/>
        </w:numPr>
        <w:spacing w:lineRule="auto" w:line="360"/>
        <w:ind w:left="567" w:hanging="360"/>
        <w:rPr>
          <w:rFonts w:ascii="ISOCPEUR" w:hAnsi="ISOCPEUR"/>
        </w:rPr>
      </w:pPr>
      <w:r>
        <w:rPr>
          <w:rFonts w:ascii="ISOCPEUR" w:hAnsi="ISOCPEUR"/>
        </w:rPr>
        <w:t>bezwzględnie wydzielić wszystkie stanowiska pracy sprzętu zmechanizowanego z zachowaniem odpowiedniej strefy bezpieczeństwa.</w:t>
      </w:r>
    </w:p>
    <w:p>
      <w:pPr>
        <w:pStyle w:val="Tytu"/>
        <w:numPr>
          <w:ilvl w:val="0"/>
          <w:numId w:val="2"/>
        </w:numPr>
        <w:spacing w:lineRule="auto" w:line="360"/>
        <w:ind w:left="567" w:hanging="360"/>
        <w:rPr>
          <w:rFonts w:ascii="ISOCPEUR" w:hAnsi="ISOCPEUR"/>
        </w:rPr>
      </w:pPr>
      <w:r>
        <w:rPr>
          <w:rFonts w:ascii="ISOCPEUR" w:hAnsi="ISOCPEUR"/>
        </w:rPr>
        <w:t>bezwzględnie wydzielić teren robót w sposób uniemożliwiający dostęp osób postronnych.</w:t>
      </w:r>
    </w:p>
    <w:p>
      <w:pPr>
        <w:pStyle w:val="Tytu"/>
        <w:numPr>
          <w:ilvl w:val="0"/>
          <w:numId w:val="2"/>
        </w:numPr>
        <w:spacing w:lineRule="auto" w:line="360"/>
        <w:ind w:left="567" w:hanging="360"/>
        <w:rPr>
          <w:rFonts w:ascii="ISOCPEUR" w:hAnsi="ISOCPEUR"/>
        </w:rPr>
      </w:pPr>
      <w:r>
        <w:rPr>
          <w:rFonts w:ascii="ISOCPEUR" w:hAnsi="ISOCPEUR"/>
        </w:rPr>
        <w:t>stosować wyłącznie sprzęt sprawny i atestowany.</w:t>
      </w:r>
    </w:p>
    <w:p>
      <w:pPr>
        <w:pStyle w:val="Tytu"/>
        <w:numPr>
          <w:ilvl w:val="0"/>
          <w:numId w:val="2"/>
        </w:numPr>
        <w:spacing w:lineRule="auto" w:line="360"/>
        <w:ind w:left="567" w:hanging="360"/>
        <w:rPr>
          <w:rFonts w:ascii="ISOCPEUR" w:hAnsi="ISOCPEUR"/>
        </w:rPr>
      </w:pPr>
      <w:r>
        <w:rPr>
          <w:rFonts w:ascii="ISOCPEUR" w:hAnsi="ISOCPEUR"/>
        </w:rPr>
        <w:t>opracować plan organizacji robót i placu budowy; dojazdy, składowiska bezwzględnie używać sprzęt ochronny, właściwy dla danego rodzaju prac.</w:t>
      </w:r>
    </w:p>
    <w:p>
      <w:pPr>
        <w:pStyle w:val="Tytu"/>
        <w:numPr>
          <w:ilvl w:val="0"/>
          <w:numId w:val="2"/>
        </w:numPr>
        <w:spacing w:lineRule="auto" w:line="360"/>
        <w:ind w:left="567" w:hanging="360"/>
        <w:rPr>
          <w:rFonts w:ascii="ISOCPEUR" w:hAnsi="ISOCPEUR"/>
        </w:rPr>
      </w:pPr>
      <w:r>
        <w:rPr>
          <w:rFonts w:ascii="ISOCPEUR" w:hAnsi="ISOCPEUR"/>
        </w:rPr>
        <w:t>podczas prac zachować wymogi PPOŻ.</w:t>
      </w:r>
    </w:p>
    <w:p>
      <w:pPr>
        <w:pStyle w:val="Nagwek1"/>
        <w:spacing w:lineRule="auto" w:line="360"/>
        <w:rPr>
          <w:rFonts w:ascii="ISOCPEUR" w:hAnsi="ISOCPEUR"/>
        </w:rPr>
      </w:pPr>
      <w:bookmarkStart w:id="87" w:name="__RefHeading___Toc6674_1471982776"/>
      <w:bookmarkStart w:id="88" w:name="_Toc79231813"/>
      <w:bookmarkStart w:id="89" w:name="_Toc90976289"/>
      <w:bookmarkStart w:id="90" w:name="_Toc185095302"/>
      <w:bookmarkEnd w:id="76"/>
      <w:bookmarkEnd w:id="87"/>
      <w:r>
        <w:rPr>
          <w:rFonts w:ascii="ISOCPEUR" w:hAnsi="ISOCPEUR"/>
        </w:rPr>
        <w:t>UWAGI KOŃCOWE</w:t>
      </w:r>
      <w:bookmarkEnd w:id="88"/>
      <w:bookmarkEnd w:id="89"/>
      <w:bookmarkEnd w:id="90"/>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w projekcie zastosowano wyłącznie materiały budowlane posiadające aktualne krajowe lub europejskie aprobaty techniczne i świadectwa dopuszczenia, zgodnie z rozporządzeniem Ministra Spraw Wewnętrznych i Administracji z dnia 20 czerwca 2007 r. w sprawie wykazu wyrobów służących zapewnieniu bezpieczeństwa publicznego lub ochronie zdrowia i życia oraz mienia, a także zasad wydawania dopuszczenia tych wyrobów do użytkowania (Dz. U. Nr 143, poz. 1002, z późniejszymi zmianami) oraz z rozporządzeniem Ministra Infrastruktury i Budownictwa z dnia 17 listopada 2016 r. w sprawie sposobów deklarowania właściwości użytkowych  wyrobów budowlanych oraz sposobu znakowania ich znakiem budowlanym (Dz. U. 2016, poz. 196 z późniejszymi zmianami).</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wszystkie materiały użyte do wykonania robót instalacyjnych muszą posiadać aktualne atesty i świadectwa dopuszczające do użycia w budownictwie.</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zastosowane rozwiązania systemowe powinny być wykonane zgodnie z instrukcją producenta, przez firmy posiadające licencje producenta, które ponadto są przez producenta przeszkolone.</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wszystkie prace należy prowadzić zgodnie ze sztuką budowlaną w oparciu o warunki techniczne wykonania i odbioru robót budowlanych, oraz zgodnie z obowiązującymi przepisami BHP. </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przy pracach montażowych należy dokonywać pomiarów wykonawczych bezpośrednio na budowie.</w:t>
      </w:r>
    </w:p>
    <w:p>
      <w:pPr>
        <w:pStyle w:val="Normal"/>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wszystkie materiały i wyroby stosowane w procesach uzdatniania i dystrybucji wody muszą posiadać odpowiednie atesty i aprobaty techniczne oraz muszą uzyskać pozytywną ocenę higieniczna Państwowego Powiatowego Inspektora Sanitarnego przed ich wbudowaniem. </w:t>
      </w:r>
    </w:p>
    <w:p>
      <w:pPr>
        <w:pStyle w:val="Normal"/>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wszystkie punkty poboru próbek wody (studnie, woda surowa wprowadzana do SUW, woda wprowadzana do sieci) powinny mieć zamontowane krany metalowe, nierozbryzgowe, odporne na sterylizację płomieniem. </w:t>
      </w:r>
    </w:p>
    <w:p>
      <w:pPr>
        <w:pStyle w:val="Nagwek1"/>
        <w:spacing w:lineRule="auto" w:line="360"/>
        <w:rPr>
          <w:rFonts w:ascii="ISOCPEUR" w:hAnsi="ISOCPEUR"/>
        </w:rPr>
      </w:pPr>
      <w:bookmarkStart w:id="91" w:name="__RefHeading___Toc6676_1471982776"/>
      <w:bookmarkStart w:id="92" w:name="_Toc79231814"/>
      <w:bookmarkStart w:id="93" w:name="_Toc90976290"/>
      <w:bookmarkStart w:id="94" w:name="_Toc185095303"/>
      <w:bookmarkEnd w:id="91"/>
      <w:r>
        <w:rPr>
          <w:rFonts w:ascii="ISOCPEUR" w:hAnsi="ISOCPEUR"/>
        </w:rPr>
        <w:t>CZĘŚĆ RYSUNKOWA</w:t>
      </w:r>
      <w:bookmarkEnd w:id="92"/>
      <w:bookmarkEnd w:id="93"/>
      <w:bookmarkEnd w:id="94"/>
    </w:p>
    <w:tbl>
      <w:tblPr>
        <w:tblStyle w:val="Tabela-Siatka"/>
        <w:tblW w:w="8789"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961"/>
        <w:gridCol w:w="2267"/>
        <w:gridCol w:w="1561"/>
      </w:tblGrid>
      <w:tr>
        <w:trPr/>
        <w:tc>
          <w:tcPr>
            <w:tcW w:w="4961" w:type="dxa"/>
            <w:tcBorders/>
            <w:shd w:color="auto" w:fill="BFBFBF" w:themeFill="background1" w:themeFillShade="bf" w:val="clear"/>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Nazwa rysunku</w:t>
            </w:r>
          </w:p>
        </w:tc>
        <w:tc>
          <w:tcPr>
            <w:tcW w:w="2267" w:type="dxa"/>
            <w:tcBorders/>
            <w:shd w:color="auto" w:fill="BFBFBF" w:themeFill="background1" w:themeFillShade="bf" w:val="clear"/>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Skala</w:t>
            </w:r>
          </w:p>
        </w:tc>
        <w:tc>
          <w:tcPr>
            <w:tcW w:w="1561" w:type="dxa"/>
            <w:tcBorders/>
            <w:shd w:color="auto" w:fill="BFBFBF" w:themeFill="background1" w:themeFillShade="bf" w:val="clear"/>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Nr rys.</w:t>
            </w:r>
          </w:p>
        </w:tc>
      </w:tr>
      <w:tr>
        <w:trPr/>
        <w:tc>
          <w:tcPr>
            <w:tcW w:w="4961" w:type="dxa"/>
            <w:tcBorders/>
            <w:vAlign w:val="center"/>
          </w:tcPr>
          <w:p>
            <w:pPr>
              <w:pStyle w:val="ListParagraph"/>
              <w:widowControl w:val="false"/>
              <w:suppressAutoHyphens w:val="true"/>
              <w:spacing w:lineRule="auto" w:line="360" w:before="60" w:after="0"/>
              <w:ind w:left="0" w:hanging="0"/>
              <w:contextualSpacing w:val="false"/>
              <w:jc w:val="left"/>
              <w:rPr>
                <w:rFonts w:ascii="ISOCPEUR" w:hAnsi="ISOCPEUR" w:eastAsia="" w:cs="" w:cstheme="minorBidi" w:eastAsiaTheme="minorEastAsia"/>
                <w:color w:val="auto"/>
                <w:kern w:val="0"/>
                <w:sz w:val="22"/>
                <w:szCs w:val="22"/>
                <w:lang w:val="pl-PL" w:eastAsia="en-US" w:bidi="ar-SA"/>
              </w:rPr>
            </w:pPr>
            <w:r>
              <w:rPr>
                <w:rFonts w:eastAsia="" w:cs="" w:ascii="ISOCPEUR" w:hAnsi="ISOCPEUR" w:cstheme="minorBidi" w:eastAsiaTheme="minorEastAsia"/>
                <w:color w:val="auto"/>
                <w:kern w:val="0"/>
                <w:sz w:val="22"/>
                <w:szCs w:val="22"/>
                <w:lang w:val="pl-PL" w:eastAsia="en-US" w:bidi="ar-SA"/>
              </w:rPr>
              <w:t>Schemat technologiczny</w:t>
            </w:r>
          </w:p>
        </w:tc>
        <w:tc>
          <w:tcPr>
            <w:tcW w:w="2267" w:type="dxa"/>
            <w:tcBorders/>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cstheme="minorBidi" w:eastAsiaTheme="minorEastAsia"/>
                <w:color w:val="auto"/>
                <w:kern w:val="0"/>
                <w:sz w:val="22"/>
                <w:szCs w:val="22"/>
                <w:lang w:val="pl-PL" w:eastAsia="en-US" w:bidi="ar-SA"/>
              </w:rPr>
            </w:pPr>
            <w:r>
              <w:rPr>
                <w:rFonts w:eastAsia="" w:cs="" w:ascii="ISOCPEUR" w:hAnsi="ISOCPEUR" w:cstheme="minorBidi" w:eastAsiaTheme="minorEastAsia"/>
                <w:color w:val="auto"/>
                <w:kern w:val="0"/>
                <w:sz w:val="22"/>
                <w:szCs w:val="22"/>
                <w:lang w:val="pl-PL" w:eastAsia="en-US" w:bidi="ar-SA"/>
              </w:rPr>
              <w:t>bs</w:t>
            </w:r>
          </w:p>
        </w:tc>
        <w:tc>
          <w:tcPr>
            <w:tcW w:w="1561" w:type="dxa"/>
            <w:tcBorders/>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S.01</w:t>
            </w:r>
          </w:p>
        </w:tc>
      </w:tr>
      <w:tr>
        <w:trPr/>
        <w:tc>
          <w:tcPr>
            <w:tcW w:w="4961" w:type="dxa"/>
            <w:tcBorders/>
            <w:vAlign w:val="center"/>
          </w:tcPr>
          <w:p>
            <w:pPr>
              <w:pStyle w:val="ListParagraph"/>
              <w:widowControl w:val="false"/>
              <w:suppressAutoHyphens w:val="true"/>
              <w:spacing w:lineRule="auto" w:line="360" w:before="60" w:after="0"/>
              <w:ind w:left="0" w:hanging="0"/>
              <w:contextualSpacing w:val="false"/>
              <w:jc w:val="left"/>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Rzut parteru</w:t>
            </w:r>
          </w:p>
        </w:tc>
        <w:tc>
          <w:tcPr>
            <w:tcW w:w="2267" w:type="dxa"/>
            <w:tcBorders/>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1:50</w:t>
            </w:r>
          </w:p>
        </w:tc>
        <w:tc>
          <w:tcPr>
            <w:tcW w:w="1561" w:type="dxa"/>
            <w:tcBorders/>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S.02</w:t>
            </w:r>
          </w:p>
        </w:tc>
      </w:tr>
    </w:tbl>
    <w:p>
      <w:pPr>
        <w:pStyle w:val="Normal"/>
        <w:spacing w:lineRule="auto" w:line="360" w:before="0" w:after="160"/>
        <w:rPr>
          <w:rFonts w:ascii="ISOCPEUR" w:hAnsi="ISOCPEUR"/>
        </w:rPr>
      </w:pPr>
      <w:r>
        <w:rPr/>
      </w:r>
    </w:p>
    <w:sectPr>
      <w:headerReference w:type="default" r:id="rId2"/>
      <w:footerReference w:type="default" r:id="rId3"/>
      <w:type w:val="nextPage"/>
      <w:pgSz w:w="11906" w:h="16838"/>
      <w:pgMar w:left="1417" w:right="1417" w:gutter="0" w:header="284" w:top="993" w:footer="284" w:bottom="1276"/>
      <w:pgNumType w:start="1"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mbria">
    <w:charset w:val="ee"/>
    <w:family w:val="roman"/>
    <w:pitch w:val="variable"/>
  </w:font>
  <w:font w:name="Tahoma">
    <w:charset w:val="ee"/>
    <w:family w:val="roman"/>
    <w:pitch w:val="variable"/>
  </w:font>
  <w:font w:name="Arial Narrow">
    <w:charset w:val="ee"/>
    <w:family w:val="roman"/>
    <w:pitch w:val="variable"/>
  </w:font>
  <w:font w:name="Times New Roman">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Century Gothic">
    <w:charset w:val="ee"/>
    <w:family w:val="roman"/>
    <w:pitch w:val="variable"/>
  </w:font>
  <w:font w:name="Arial">
    <w:charset w:val="ee"/>
    <w:family w:val="roman"/>
    <w:pitch w:val="variable"/>
  </w:font>
  <w:font w:name="Calibri">
    <w:charset w:val="ee"/>
    <w:family w:val="roman"/>
    <w:pitch w:val="variable"/>
  </w:font>
  <w:font w:name="ISOCPEUR">
    <w:charset w:val="01"/>
    <w:family w:val="swiss"/>
    <w:pitch w:val="variable"/>
  </w:font>
  <w:font w:name="ISOCPEUR">
    <w:charset w:val="ee"/>
    <w:family w:val="roman"/>
    <w:pitch w:val="variable"/>
  </w:font>
  <w:font w:name="Courier New">
    <w:charset w:val="01"/>
    <w:family w:val="modern"/>
    <w:pitch w:val="fixed"/>
  </w:font>
  <w:font w:name="Wingdings">
    <w:charset w:val="02"/>
    <w:family w:val="auto"/>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Gallery w:val="Page Numbers (Top of Page)"/>
        <w:docPartUnique w:val="true"/>
      </w:docPartObj>
      <w:id w:val="1519284653"/>
    </w:sdtPr>
    <w:sdtContent>
      <w:p>
        <w:pPr>
          <w:pStyle w:val="Stopka"/>
          <w:rPr>
            <w:rFonts w:ascii="ISOCPEUR" w:hAnsi="ISOCPEUR"/>
          </w:rPr>
        </w:pPr>
        <w:r>
          <w:rPr>
            <w:rFonts w:ascii="ISOCPEUR" w:hAnsi="ISOCPEUR"/>
          </w:rPr>
          <w:t xml:space="preserve">Strona </w:t>
        </w:r>
        <w:r>
          <w:rPr>
            <w:rFonts w:ascii="ISOCPEUR" w:hAnsi="ISOCPEUR"/>
            <w:b/>
            <w:bCs/>
            <w:sz w:val="24"/>
            <w:szCs w:val="24"/>
          </w:rPr>
          <w:fldChar w:fldCharType="begin"/>
        </w:r>
        <w:r>
          <w:rPr>
            <w:sz w:val="24"/>
            <w:b/>
            <w:szCs w:val="24"/>
            <w:bCs/>
            <w:rFonts w:ascii="ISOCPEUR" w:hAnsi="ISOCPEUR"/>
          </w:rPr>
          <w:instrText> PAGE </w:instrText>
        </w:r>
        <w:r>
          <w:rPr>
            <w:sz w:val="24"/>
            <w:b/>
            <w:szCs w:val="24"/>
            <w:bCs/>
            <w:rFonts w:ascii="ISOCPEUR" w:hAnsi="ISOCPEUR"/>
          </w:rPr>
          <w:fldChar w:fldCharType="separate"/>
        </w:r>
        <w:r>
          <w:rPr>
            <w:sz w:val="24"/>
            <w:b/>
            <w:szCs w:val="24"/>
            <w:bCs/>
            <w:rFonts w:ascii="ISOCPEUR" w:hAnsi="ISOCPEUR"/>
          </w:rPr>
          <w:t>10</w:t>
        </w:r>
        <w:r>
          <w:rPr>
            <w:sz w:val="24"/>
            <w:b/>
            <w:szCs w:val="24"/>
            <w:bCs/>
            <w:rFonts w:ascii="ISOCPEUR" w:hAnsi="ISOCPEUR"/>
          </w:rPr>
          <w:fldChar w:fldCharType="end"/>
        </w:r>
        <w:r>
          <w:rPr>
            <w:rFonts w:ascii="ISOCPEUR" w:hAnsi="ISOCPEUR"/>
          </w:rPr>
          <w:t xml:space="preserve"> z </w:t>
        </w:r>
        <w:r>
          <w:rPr>
            <w:rFonts w:ascii="ISOCPEUR" w:hAnsi="ISOCPEUR"/>
            <w:b/>
            <w:bCs/>
            <w:sz w:val="24"/>
            <w:szCs w:val="24"/>
          </w:rPr>
          <w:fldChar w:fldCharType="begin"/>
        </w:r>
        <w:r>
          <w:rPr>
            <w:sz w:val="24"/>
            <w:b/>
            <w:szCs w:val="24"/>
            <w:bCs/>
            <w:rFonts w:ascii="ISOCPEUR" w:hAnsi="ISOCPEUR"/>
          </w:rPr>
          <w:instrText> NUMPAGES </w:instrText>
        </w:r>
        <w:r>
          <w:rPr>
            <w:sz w:val="24"/>
            <w:b/>
            <w:szCs w:val="24"/>
            <w:bCs/>
            <w:rFonts w:ascii="ISOCPEUR" w:hAnsi="ISOCPEUR"/>
          </w:rPr>
          <w:fldChar w:fldCharType="separate"/>
        </w:r>
        <w:r>
          <w:rPr>
            <w:sz w:val="24"/>
            <w:b/>
            <w:szCs w:val="24"/>
            <w:bCs/>
            <w:rFonts w:ascii="ISOCPEUR" w:hAnsi="ISOCPEUR"/>
          </w:rPr>
          <w:t>11</w:t>
        </w:r>
        <w:r>
          <w:rPr>
            <w:sz w:val="24"/>
            <w:b/>
            <w:szCs w:val="24"/>
            <w:bCs/>
            <w:rFonts w:ascii="ISOCPEUR" w:hAnsi="ISOCPEUR"/>
          </w:rPr>
          <w:fldChar w:fldCharType="end"/>
        </w:r>
      </w:p>
    </w:sdtContent>
  </w:sdt>
  <w:p>
    <w:pPr>
      <w:pStyle w:val="Normal"/>
      <w:spacing w:before="0" w:after="16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tabs>
        <w:tab w:val="clear" w:pos="4536"/>
        <w:tab w:val="clear" w:pos="9072"/>
      </w:tabs>
      <w:jc w:val="center"/>
      <w:rPr>
        <w:sz w:val="24"/>
        <w:szCs w:val="24"/>
      </w:rPr>
    </w:pPr>
    <w:r>
      <w:rPr>
        <w:sz w:val="24"/>
        <w:szCs w:val="24"/>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decimal"/>
      <w:lvlText w:val="%1"/>
      <w:lvlJc w:val="left"/>
      <w:pPr>
        <w:tabs>
          <w:tab w:val="num" w:pos="0"/>
        </w:tabs>
        <w:ind w:left="432" w:hanging="432"/>
      </w:pPr>
    </w:lvl>
    <w:lvl w:ilvl="1">
      <w:start w:val="1"/>
      <w:pStyle w:val="Nagwek2"/>
      <w:numFmt w:val="decimal"/>
      <w:lvlText w:val="%1.%2"/>
      <w:lvlJc w:val="left"/>
      <w:pPr>
        <w:tabs>
          <w:tab w:val="num" w:pos="0"/>
        </w:tabs>
        <w:ind w:left="576" w:hanging="576"/>
      </w:pPr>
    </w:lvl>
    <w:lvl w:ilvl="2">
      <w:start w:val="1"/>
      <w:pStyle w:val="Nagwek3"/>
      <w:numFmt w:val="decimal"/>
      <w:lvlText w:val="%1.%2.%3"/>
      <w:lvlJc w:val="left"/>
      <w:pPr>
        <w:tabs>
          <w:tab w:val="num" w:pos="0"/>
        </w:tabs>
        <w:ind w:left="720" w:hanging="720"/>
      </w:pPr>
    </w:lvl>
    <w:lvl w:ilvl="3">
      <w:start w:val="1"/>
      <w:pStyle w:val="Nagwek4"/>
      <w:numFmt w:val="decimal"/>
      <w:lvlText w:val="%1.%2.%3.%4"/>
      <w:lvlJc w:val="left"/>
      <w:pPr>
        <w:tabs>
          <w:tab w:val="num" w:pos="0"/>
        </w:tabs>
        <w:ind w:left="864" w:hanging="864"/>
      </w:pPr>
      <w:rPr>
        <w:smallCaps w:val="false"/>
        <w:caps w:val="false"/>
        <w:outline w:val="false"/>
        <w:dstrike w:val="false"/>
        <w:strike w:val="false"/>
        <w:vertAlign w:val="baseline"/>
        <w:position w:val="0"/>
        <w:sz w:val="0"/>
        <w:sz w:val="0"/>
        <w:spacing w:val="0"/>
        <w:i w:val="false"/>
        <w:shadow w:val="false"/>
        <w:u w:val="none" w:color="000000"/>
        <w:b w:val="false"/>
        <w:kern w:val="0"/>
        <w:effect w:val="none"/>
        <w:shd w:fill="000000" w:val="clear"/>
        <w:szCs w:val="0"/>
        <w:iCs w:val="false"/>
        <w:bCs w:val="false"/>
        <w:em w:val="none"/>
        <w:w w:val="100"/>
        <w:emboss w:val="false"/>
        <w:imprint w:val="false"/>
        <w:vanish w:val="false"/>
        <w:rFonts w:ascii="Times New Roman" w:hAnsi="Times New Roman" w:cs="Times New Roman"/>
        <w:color w:val="000000"/>
        <w:lang w:val="x-none" w:eastAsia="x-none" w:bidi="x-none"/>
        <w14:cntxtAlts w14:val="0"/>
        <w14:glow w14:rad="0">
          <w14:srgbClr w14:val="000000"/>
        </w14:glow>
        <w14:ligatures w14:val="none"/>
        <w14:numForm w14:val="default"/>
        <w14:numSpacing w14:val="default"/>
        <w14:props3d w14:extrusionH="0" w14:contourW="0" w14:prstMaterial="none"/>
        <w14:reflection w14:blurRad="0" w14:stA="0" w14:stPos="0" w14:endA="0" w14:endPos="0" w14:dist="0" w14:dir="0" w14:fadeDir="0" w14:sx="0" w14:sy="0" w14:kx="0" w14:ky="0" w14:algn="none"/>
        <w14:scene3d>
          <w14:camera w14:prst="orthographicFront"/>
          <w14:lightRig w14:rig="threePt" w14:dir="t">
            <w14:rot w14:lat="0" w14:lon="0" w14:rev="0"/>
          </w14:lightRig>
        </w14:scene3d>
        <w14:shadow w14:blurRad="0" w14:dist="0" w14:dir="0" w14:sx="0" w14:sy="0" w14:kx="0" w14:ky="0" w14:algn="none">
          <w14:srgbClr w14:val="000000"/>
        </w14:shadow>
        <w14:stylisticSets/>
        <w14:textOutline w14:w="0" w14:cap="rnd" w14:cmpd="sng" w14:algn="ctr">
          <w14:noFill/>
          <w14:prstDash w14:val="solid"/>
          <w14:bevel/>
        </w14:textOutline>
      </w:rPr>
    </w:lvl>
    <w:lvl w:ilvl="4">
      <w:start w:val="1"/>
      <w:pStyle w:val="Nagwek5"/>
      <w:numFmt w:val="decimal"/>
      <w:lvlText w:val="%1.%2.%3.%4.%5"/>
      <w:lvlJc w:val="left"/>
      <w:pPr>
        <w:tabs>
          <w:tab w:val="num" w:pos="0"/>
        </w:tabs>
        <w:ind w:left="1008" w:hanging="1008"/>
      </w:pPr>
    </w:lvl>
    <w:lvl w:ilvl="5">
      <w:start w:val="1"/>
      <w:pStyle w:val="Nagwek6"/>
      <w:numFmt w:val="decimal"/>
      <w:lvlText w:val="%1.%2.%3.%4.%5.%6"/>
      <w:lvlJc w:val="left"/>
      <w:pPr>
        <w:tabs>
          <w:tab w:val="num" w:pos="0"/>
        </w:tabs>
        <w:ind w:left="1152" w:hanging="1152"/>
      </w:pPr>
    </w:lvl>
    <w:lvl w:ilvl="6">
      <w:start w:val="1"/>
      <w:pStyle w:val="Nagwek7"/>
      <w:numFmt w:val="decimal"/>
      <w:lvlText w:val="%1.%2.%3.%4.%5.%6.%7"/>
      <w:lvlJc w:val="left"/>
      <w:pPr>
        <w:tabs>
          <w:tab w:val="num" w:pos="0"/>
        </w:tabs>
        <w:ind w:left="1296" w:hanging="1296"/>
      </w:pPr>
    </w:lvl>
    <w:lvl w:ilvl="7">
      <w:start w:val="1"/>
      <w:pStyle w:val="Nagwek8"/>
      <w:numFmt w:val="decimal"/>
      <w:lvlText w:val="%1.%2.%3.%4.%5.%6.%7.%8"/>
      <w:lvlJc w:val="left"/>
      <w:pPr>
        <w:tabs>
          <w:tab w:val="num" w:pos="0"/>
        </w:tabs>
        <w:ind w:left="1440" w:hanging="1440"/>
      </w:pPr>
    </w:lvl>
    <w:lvl w:ilvl="8">
      <w:start w:val="1"/>
      <w:pStyle w:val="Nagwek9"/>
      <w:numFmt w:val="decimal"/>
      <w:lvlText w:val="%1.%2.%3.%4.%5.%6.%7.%8.%9"/>
      <w:lvlJc w:val="left"/>
      <w:pPr>
        <w:tabs>
          <w:tab w:val="num" w:pos="0"/>
        </w:tabs>
        <w:ind w:left="1584" w:hanging="1584"/>
      </w:pPr>
    </w:lvl>
  </w:abstractNum>
  <w:abstractNum w:abstractNumId="2">
    <w:lvl w:ilvl="0">
      <w:start w:val="1"/>
      <w:numFmt w:val="bullet"/>
      <w:lvlText w:val=""/>
      <w:lvlJc w:val="left"/>
      <w:pPr>
        <w:tabs>
          <w:tab w:val="num" w:pos="2563"/>
        </w:tabs>
        <w:ind w:left="2563" w:hanging="360"/>
      </w:pPr>
      <w:rPr>
        <w:rFonts w:ascii="Symbol" w:hAnsi="Symbol" w:cs="Symbol" w:hint="default"/>
        <w:vertAlign w:val="baseline"/>
        <w:position w:val="0"/>
        <w:sz w:val="2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1778" w:hanging="360"/>
      </w:pPr>
      <w:rPr>
        <w:rFonts w:ascii="Symbol" w:hAnsi="Symbol" w:cs="Symbol" w:hint="default"/>
      </w:rPr>
    </w:lvl>
    <w:lvl w:ilvl="1">
      <w:start w:val="0"/>
      <w:numFmt w:val="bullet"/>
      <w:lvlText w:val="•"/>
      <w:lvlJc w:val="left"/>
      <w:pPr>
        <w:tabs>
          <w:tab w:val="num" w:pos="0"/>
        </w:tabs>
        <w:ind w:left="2749" w:hanging="705"/>
      </w:pPr>
      <w:rPr>
        <w:rFonts w:ascii="Cambria" w:hAnsi="Cambria" w:cs="Cambria" w:hint="default"/>
        <w:rFonts w:cstheme="minorBidi" w:eastAsiaTheme="minorEastAsia"/>
      </w:rPr>
    </w:lvl>
    <w:lvl w:ilvl="2">
      <w:start w:val="1"/>
      <w:numFmt w:val="bullet"/>
      <w:lvlText w:val=""/>
      <w:lvlJc w:val="left"/>
      <w:pPr>
        <w:tabs>
          <w:tab w:val="num" w:pos="0"/>
        </w:tabs>
        <w:ind w:left="3124" w:hanging="360"/>
      </w:pPr>
      <w:rPr>
        <w:rFonts w:ascii="Wingdings" w:hAnsi="Wingdings" w:cs="Wingdings" w:hint="default"/>
      </w:rPr>
    </w:lvl>
    <w:lvl w:ilvl="3">
      <w:start w:val="1"/>
      <w:numFmt w:val="bullet"/>
      <w:lvlText w:val=""/>
      <w:lvlJc w:val="left"/>
      <w:pPr>
        <w:tabs>
          <w:tab w:val="num" w:pos="0"/>
        </w:tabs>
        <w:ind w:left="3844" w:hanging="360"/>
      </w:pPr>
      <w:rPr>
        <w:rFonts w:ascii="Symbol" w:hAnsi="Symbol" w:cs="Symbol" w:hint="default"/>
      </w:rPr>
    </w:lvl>
    <w:lvl w:ilvl="4">
      <w:start w:val="1"/>
      <w:numFmt w:val="bullet"/>
      <w:lvlText w:val="o"/>
      <w:lvlJc w:val="left"/>
      <w:pPr>
        <w:tabs>
          <w:tab w:val="num" w:pos="0"/>
        </w:tabs>
        <w:ind w:left="4564" w:hanging="360"/>
      </w:pPr>
      <w:rPr>
        <w:rFonts w:ascii="Courier New" w:hAnsi="Courier New" w:cs="Courier New" w:hint="default"/>
      </w:rPr>
    </w:lvl>
    <w:lvl w:ilvl="5">
      <w:start w:val="1"/>
      <w:numFmt w:val="bullet"/>
      <w:lvlText w:val=""/>
      <w:lvlJc w:val="left"/>
      <w:pPr>
        <w:tabs>
          <w:tab w:val="num" w:pos="0"/>
        </w:tabs>
        <w:ind w:left="5284" w:hanging="360"/>
      </w:pPr>
      <w:rPr>
        <w:rFonts w:ascii="Wingdings" w:hAnsi="Wingdings" w:cs="Wingdings" w:hint="default"/>
      </w:rPr>
    </w:lvl>
    <w:lvl w:ilvl="6">
      <w:start w:val="1"/>
      <w:numFmt w:val="bullet"/>
      <w:lvlText w:val=""/>
      <w:lvlJc w:val="left"/>
      <w:pPr>
        <w:tabs>
          <w:tab w:val="num" w:pos="0"/>
        </w:tabs>
        <w:ind w:left="6004" w:hanging="360"/>
      </w:pPr>
      <w:rPr>
        <w:rFonts w:ascii="Symbol" w:hAnsi="Symbol" w:cs="Symbol" w:hint="default"/>
      </w:rPr>
    </w:lvl>
    <w:lvl w:ilvl="7">
      <w:start w:val="1"/>
      <w:numFmt w:val="bullet"/>
      <w:lvlText w:val="o"/>
      <w:lvlJc w:val="left"/>
      <w:pPr>
        <w:tabs>
          <w:tab w:val="num" w:pos="0"/>
        </w:tabs>
        <w:ind w:left="6724" w:hanging="360"/>
      </w:pPr>
      <w:rPr>
        <w:rFonts w:ascii="Courier New" w:hAnsi="Courier New" w:cs="Courier New" w:hint="default"/>
      </w:rPr>
    </w:lvl>
    <w:lvl w:ilvl="8">
      <w:start w:val="1"/>
      <w:numFmt w:val="bullet"/>
      <w:lvlText w:val=""/>
      <w:lvlJc w:val="left"/>
      <w:pPr>
        <w:tabs>
          <w:tab w:val="num" w:pos="0"/>
        </w:tabs>
        <w:ind w:left="7444" w:hanging="360"/>
      </w:pPr>
      <w:rPr>
        <w:rFonts w:ascii="Wingdings" w:hAnsi="Wingdings" w:cs="Wingdings" w:hint="default"/>
      </w:rPr>
    </w:lvl>
  </w:abstractNum>
  <w:abstractNum w:abstractNumId="4">
    <w:lvl w:ilvl="0">
      <w:start w:val="1"/>
      <w:numFmt w:val="decimal"/>
      <w:lvlText w:val="%1."/>
      <w:lvlJc w:val="left"/>
      <w:pPr>
        <w:tabs>
          <w:tab w:val="num" w:pos="2563"/>
        </w:tabs>
        <w:ind w:left="2563" w:hanging="360"/>
      </w:pPr>
    </w:lvl>
    <w:lvl w:ilvl="1">
      <w:start w:val="1"/>
      <w:numFmt w:val="lowerLetter"/>
      <w:lvlText w:val="%2."/>
      <w:lvlJc w:val="left"/>
      <w:pPr>
        <w:tabs>
          <w:tab w:val="num" w:pos="3283"/>
        </w:tabs>
        <w:ind w:left="3283" w:hanging="360"/>
      </w:pPr>
    </w:lvl>
    <w:lvl w:ilvl="2">
      <w:start w:val="1"/>
      <w:numFmt w:val="lowerRoman"/>
      <w:lvlText w:val="%3."/>
      <w:lvlJc w:val="right"/>
      <w:pPr>
        <w:tabs>
          <w:tab w:val="num" w:pos="4003"/>
        </w:tabs>
        <w:ind w:left="4003" w:hanging="180"/>
      </w:pPr>
    </w:lvl>
    <w:lvl w:ilvl="3">
      <w:start w:val="1"/>
      <w:numFmt w:val="decimal"/>
      <w:lvlText w:val="%4."/>
      <w:lvlJc w:val="left"/>
      <w:pPr>
        <w:tabs>
          <w:tab w:val="num" w:pos="4723"/>
        </w:tabs>
        <w:ind w:left="4723" w:hanging="360"/>
      </w:pPr>
    </w:lvl>
    <w:lvl w:ilvl="4">
      <w:start w:val="1"/>
      <w:numFmt w:val="lowerLetter"/>
      <w:lvlText w:val="%5."/>
      <w:lvlJc w:val="left"/>
      <w:pPr>
        <w:tabs>
          <w:tab w:val="num" w:pos="5443"/>
        </w:tabs>
        <w:ind w:left="5443" w:hanging="360"/>
      </w:pPr>
    </w:lvl>
    <w:lvl w:ilvl="5">
      <w:start w:val="1"/>
      <w:numFmt w:val="lowerRoman"/>
      <w:lvlText w:val="%6."/>
      <w:lvlJc w:val="right"/>
      <w:pPr>
        <w:tabs>
          <w:tab w:val="num" w:pos="6163"/>
        </w:tabs>
        <w:ind w:left="6163" w:hanging="180"/>
      </w:pPr>
    </w:lvl>
    <w:lvl w:ilvl="6">
      <w:start w:val="1"/>
      <w:numFmt w:val="decimal"/>
      <w:lvlText w:val="%7."/>
      <w:lvlJc w:val="left"/>
      <w:pPr>
        <w:tabs>
          <w:tab w:val="num" w:pos="6883"/>
        </w:tabs>
        <w:ind w:left="6883" w:hanging="360"/>
      </w:pPr>
    </w:lvl>
    <w:lvl w:ilvl="7">
      <w:start w:val="1"/>
      <w:numFmt w:val="lowerLetter"/>
      <w:lvlText w:val="%8."/>
      <w:lvlJc w:val="left"/>
      <w:pPr>
        <w:tabs>
          <w:tab w:val="num" w:pos="7603"/>
        </w:tabs>
        <w:ind w:left="7603" w:hanging="360"/>
      </w:pPr>
    </w:lvl>
    <w:lvl w:ilvl="8">
      <w:start w:val="1"/>
      <w:numFmt w:val="lowerRoman"/>
      <w:lvlText w:val="%9."/>
      <w:lvlJc w:val="right"/>
      <w:pPr>
        <w:tabs>
          <w:tab w:val="num" w:pos="8323"/>
        </w:tabs>
        <w:ind w:left="8323" w:hanging="180"/>
      </w:p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 w:cs="" w:asciiTheme="minorHAnsi" w:cstheme="minorBidi" w:eastAsiaTheme="minorEastAsia"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45c67"/>
    <w:pPr>
      <w:widowControl/>
      <w:suppressAutoHyphens w:val="true"/>
      <w:bidi w:val="0"/>
      <w:spacing w:lineRule="auto" w:line="276" w:before="0" w:after="160"/>
      <w:jc w:val="both"/>
    </w:pPr>
    <w:rPr>
      <w:rFonts w:ascii="Cambria" w:hAnsi="Cambria" w:eastAsia="" w:cs="" w:asciiTheme="minorHAnsi" w:cstheme="minorBidi" w:eastAsiaTheme="minorEastAsia" w:hAnsiTheme="minorHAnsi"/>
      <w:color w:val="auto"/>
      <w:kern w:val="0"/>
      <w:sz w:val="22"/>
      <w:szCs w:val="22"/>
      <w:lang w:val="pl-PL" w:eastAsia="en-US" w:bidi="ar-SA"/>
    </w:rPr>
  </w:style>
  <w:style w:type="paragraph" w:styleId="Nagwek1">
    <w:name w:val="Heading 1"/>
    <w:basedOn w:val="Normal"/>
    <w:next w:val="Normal"/>
    <w:link w:val="Nagwek1Znak"/>
    <w:qFormat/>
    <w:rsid w:val="006e77bf"/>
    <w:pPr>
      <w:keepNext w:val="true"/>
      <w:keepLines/>
      <w:numPr>
        <w:ilvl w:val="0"/>
        <w:numId w:val="1"/>
      </w:numPr>
      <w:pBdr>
        <w:bottom w:val="single" w:sz="4" w:space="1" w:color="595959"/>
      </w:pBdr>
      <w:shd w:val="clear" w:color="auto" w:fill="F2F2F2" w:themeFill="background1" w:themeFillShade="f2"/>
      <w:spacing w:before="360" w:after="160"/>
      <w:outlineLvl w:val="0"/>
    </w:pPr>
    <w:rPr>
      <w:rFonts w:ascii="Cambria" w:hAnsi="Cambria" w:eastAsia="" w:cs="" w:asciiTheme="majorHAnsi" w:cstheme="majorBidi" w:eastAsiaTheme="majorEastAsia" w:hAnsiTheme="majorHAnsi"/>
      <w:b/>
      <w:bCs/>
      <w:smallCaps/>
      <w:color w:val="000000" w:themeColor="text1"/>
      <w:sz w:val="28"/>
      <w:szCs w:val="36"/>
    </w:rPr>
  </w:style>
  <w:style w:type="paragraph" w:styleId="Nagwek2">
    <w:name w:val="Heading 2"/>
    <w:basedOn w:val="Normal"/>
    <w:next w:val="Normal"/>
    <w:link w:val="Nagwek2Znak"/>
    <w:unhideWhenUsed/>
    <w:qFormat/>
    <w:rsid w:val="00425415"/>
    <w:pPr>
      <w:keepNext w:val="true"/>
      <w:keepLines/>
      <w:numPr>
        <w:ilvl w:val="1"/>
        <w:numId w:val="1"/>
      </w:numPr>
      <w:pBdr>
        <w:bottom w:val="single" w:sz="4" w:space="1" w:color="000000"/>
      </w:pBdr>
      <w:spacing w:before="360" w:after="240"/>
      <w:outlineLvl w:val="1"/>
    </w:pPr>
    <w:rPr>
      <w:rFonts w:ascii="Cambria" w:hAnsi="Cambria" w:eastAsia="" w:cs="" w:asciiTheme="majorHAnsi" w:cstheme="majorBidi" w:eastAsiaTheme="majorEastAsia" w:hAnsiTheme="majorHAnsi"/>
      <w:b/>
      <w:bCs/>
      <w:smallCaps/>
      <w:color w:val="000000" w:themeColor="text1"/>
      <w:sz w:val="24"/>
      <w:szCs w:val="28"/>
    </w:rPr>
  </w:style>
  <w:style w:type="paragraph" w:styleId="Nagwek3">
    <w:name w:val="Heading 3"/>
    <w:basedOn w:val="Normal"/>
    <w:next w:val="Normal"/>
    <w:link w:val="Nagwek3Znak"/>
    <w:unhideWhenUsed/>
    <w:qFormat/>
    <w:rsid w:val="00474dc8"/>
    <w:pPr>
      <w:keepNext w:val="true"/>
      <w:keepLines/>
      <w:numPr>
        <w:ilvl w:val="2"/>
        <w:numId w:val="1"/>
      </w:numPr>
      <w:spacing w:before="200" w:after="120"/>
      <w:outlineLvl w:val="2"/>
    </w:pPr>
    <w:rPr>
      <w:rFonts w:ascii="Cambria" w:hAnsi="Cambria" w:eastAsia="" w:cs="" w:asciiTheme="majorHAnsi" w:cstheme="majorBidi" w:eastAsiaTheme="majorEastAsia" w:hAnsiTheme="majorHAnsi"/>
      <w:b/>
      <w:bCs/>
      <w:smallCaps/>
      <w:color w:val="000000" w:themeColor="text1"/>
    </w:rPr>
  </w:style>
  <w:style w:type="paragraph" w:styleId="Nagwek4">
    <w:name w:val="Heading 4"/>
    <w:basedOn w:val="Normal"/>
    <w:next w:val="Normal"/>
    <w:link w:val="Nagwek4Znak"/>
    <w:uiPriority w:val="9"/>
    <w:unhideWhenUsed/>
    <w:qFormat/>
    <w:rsid w:val="00425415"/>
    <w:pPr>
      <w:keepNext w:val="true"/>
      <w:keepLines/>
      <w:numPr>
        <w:ilvl w:val="3"/>
        <w:numId w:val="1"/>
      </w:numPr>
      <w:spacing w:before="200" w:after="0"/>
      <w:outlineLvl w:val="3"/>
    </w:pPr>
    <w:rPr>
      <w:rFonts w:ascii="Cambria" w:hAnsi="Cambria" w:eastAsia="" w:cs="" w:asciiTheme="majorHAnsi" w:cstheme="majorBidi" w:eastAsiaTheme="majorEastAsia" w:hAnsiTheme="majorHAnsi"/>
      <w:b/>
      <w:bCs/>
      <w:iCs/>
      <w:smallCaps/>
      <w:color w:val="000000" w:themeColor="text1"/>
    </w:rPr>
  </w:style>
  <w:style w:type="paragraph" w:styleId="Nagwek5">
    <w:name w:val="Heading 5"/>
    <w:basedOn w:val="Normal"/>
    <w:next w:val="Normal"/>
    <w:link w:val="Nagwek5Znak"/>
    <w:uiPriority w:val="9"/>
    <w:unhideWhenUsed/>
    <w:qFormat/>
    <w:rsid w:val="00fa4b06"/>
    <w:pPr>
      <w:keepNext w:val="true"/>
      <w:keepLines/>
      <w:numPr>
        <w:ilvl w:val="4"/>
        <w:numId w:val="1"/>
      </w:numPr>
      <w:spacing w:before="200" w:after="0"/>
      <w:outlineLvl w:val="4"/>
    </w:pPr>
    <w:rPr>
      <w:rFonts w:ascii="Cambria" w:hAnsi="Cambria" w:eastAsia="" w:cs="" w:asciiTheme="majorHAnsi" w:cstheme="majorBidi" w:eastAsiaTheme="majorEastAsia" w:hAnsiTheme="majorHAnsi"/>
    </w:rPr>
  </w:style>
  <w:style w:type="paragraph" w:styleId="Nagwek6">
    <w:name w:val="Heading 6"/>
    <w:basedOn w:val="Normal"/>
    <w:next w:val="Normal"/>
    <w:link w:val="Nagwek6Znak"/>
    <w:uiPriority w:val="9"/>
    <w:semiHidden/>
    <w:unhideWhenUsed/>
    <w:qFormat/>
    <w:rsid w:val="006e77bf"/>
    <w:pPr>
      <w:keepNext w:val="true"/>
      <w:keepLines/>
      <w:numPr>
        <w:ilvl w:val="5"/>
        <w:numId w:val="1"/>
      </w:numPr>
      <w:spacing w:before="200" w:after="0"/>
      <w:outlineLvl w:val="5"/>
    </w:pPr>
    <w:rPr>
      <w:rFonts w:ascii="Cambria" w:hAnsi="Cambria" w:eastAsia="" w:cs="" w:asciiTheme="majorHAnsi" w:cstheme="majorBidi" w:eastAsiaTheme="majorEastAsia" w:hAnsiTheme="majorHAnsi"/>
      <w:i/>
      <w:iCs/>
      <w:color w:val="102326" w:themeColor="text2" w:themeShade="bf"/>
    </w:rPr>
  </w:style>
  <w:style w:type="paragraph" w:styleId="Nagwek7">
    <w:name w:val="Heading 7"/>
    <w:basedOn w:val="Normal"/>
    <w:next w:val="Normal"/>
    <w:link w:val="Nagwek7Znak"/>
    <w:uiPriority w:val="9"/>
    <w:semiHidden/>
    <w:unhideWhenUsed/>
    <w:qFormat/>
    <w:rsid w:val="006e77bf"/>
    <w:pPr>
      <w:keepNext w:val="true"/>
      <w:keepLines/>
      <w:numPr>
        <w:ilvl w:val="6"/>
        <w:numId w:val="1"/>
      </w:numPr>
      <w:spacing w:before="200" w:after="0"/>
      <w:ind w:left="5040" w:hanging="360"/>
      <w:outlineLvl w:val="6"/>
    </w:pPr>
    <w:rPr>
      <w:rFonts w:ascii="Cambria" w:hAnsi="Cambria" w:eastAsia="" w:cs="" w:asciiTheme="majorHAnsi" w:cstheme="majorBidi" w:eastAsiaTheme="majorEastAsia" w:hAnsiTheme="majorHAnsi"/>
      <w:i/>
      <w:iCs/>
      <w:color w:val="404040" w:themeColor="text1" w:themeTint="bf"/>
    </w:rPr>
  </w:style>
  <w:style w:type="paragraph" w:styleId="Nagwek8">
    <w:name w:val="Heading 8"/>
    <w:basedOn w:val="Normal"/>
    <w:next w:val="Normal"/>
    <w:link w:val="Nagwek8Znak"/>
    <w:uiPriority w:val="9"/>
    <w:unhideWhenUsed/>
    <w:qFormat/>
    <w:rsid w:val="006e77bf"/>
    <w:pPr>
      <w:keepNext w:val="true"/>
      <w:keepLines/>
      <w:numPr>
        <w:ilvl w:val="7"/>
        <w:numId w:val="1"/>
      </w:numPr>
      <w:spacing w:before="200" w:after="0"/>
      <w:ind w:left="5760" w:hanging="360"/>
      <w:outlineLvl w:val="7"/>
    </w:pPr>
    <w:rPr>
      <w:rFonts w:ascii="Cambria" w:hAnsi="Cambria" w:eastAsia="" w:cs="" w:asciiTheme="majorHAnsi" w:cstheme="majorBidi" w:eastAsiaTheme="majorEastAsia" w:hAnsiTheme="majorHAnsi"/>
      <w:color w:val="404040" w:themeColor="text1" w:themeTint="bf"/>
      <w:sz w:val="20"/>
      <w:szCs w:val="20"/>
    </w:rPr>
  </w:style>
  <w:style w:type="paragraph" w:styleId="Nagwek9">
    <w:name w:val="Heading 9"/>
    <w:basedOn w:val="Normal"/>
    <w:next w:val="Normal"/>
    <w:link w:val="Nagwek9Znak"/>
    <w:uiPriority w:val="9"/>
    <w:unhideWhenUsed/>
    <w:qFormat/>
    <w:rsid w:val="006e77bf"/>
    <w:pPr>
      <w:keepNext w:val="true"/>
      <w:keepLines/>
      <w:numPr>
        <w:ilvl w:val="8"/>
        <w:numId w:val="1"/>
      </w:numPr>
      <w:spacing w:before="200" w:after="0"/>
      <w:ind w:left="6480" w:hanging="360"/>
      <w:outlineLvl w:val="8"/>
    </w:pPr>
    <w:rPr>
      <w:rFonts w:ascii="Cambria" w:hAnsi="Cambria" w:eastAsia="" w:cs="" w:asciiTheme="majorHAnsi" w:cstheme="majorBidi" w:eastAsiaTheme="majorEastAsia" w:hAnsiTheme="majorHAnsi"/>
      <w:i/>
      <w:iCs/>
      <w:color w:val="404040" w:themeColor="text1" w:themeTint="bf"/>
      <w:sz w:val="20"/>
      <w:szCs w:val="20"/>
    </w:rPr>
  </w:style>
  <w:style w:type="character" w:styleId="DefaultParagraphFont" w:default="1">
    <w:name w:val="Default Paragraph Font"/>
    <w:uiPriority w:val="1"/>
    <w:unhideWhenUsed/>
    <w:qFormat/>
    <w:rPr/>
  </w:style>
  <w:style w:type="character" w:styleId="Nagwek1Znak" w:customStyle="1">
    <w:name w:val="Nagłówek 1 Znak"/>
    <w:basedOn w:val="DefaultParagraphFont"/>
    <w:link w:val="Nagwek1"/>
    <w:qFormat/>
    <w:rsid w:val="006e77bf"/>
    <w:rPr>
      <w:rFonts w:ascii="Cambria" w:hAnsi="Cambria" w:eastAsia="" w:cs="" w:asciiTheme="majorHAnsi" w:cstheme="majorBidi" w:eastAsiaTheme="majorEastAsia" w:hAnsiTheme="majorHAnsi"/>
      <w:b/>
      <w:bCs/>
      <w:smallCaps/>
      <w:color w:val="000000" w:themeColor="text1"/>
      <w:sz w:val="28"/>
      <w:szCs w:val="36"/>
      <w:shd w:fill="F2F2F2" w:val="clear"/>
    </w:rPr>
  </w:style>
  <w:style w:type="character" w:styleId="Nagwek2Znak" w:customStyle="1">
    <w:name w:val="Nagłówek 2 Znak"/>
    <w:basedOn w:val="DefaultParagraphFont"/>
    <w:link w:val="Nagwek2"/>
    <w:qFormat/>
    <w:rsid w:val="00425415"/>
    <w:rPr>
      <w:rFonts w:ascii="Cambria" w:hAnsi="Cambria" w:eastAsia="" w:cs="" w:asciiTheme="majorHAnsi" w:cstheme="majorBidi" w:eastAsiaTheme="majorEastAsia" w:hAnsiTheme="majorHAnsi"/>
      <w:b/>
      <w:bCs/>
      <w:smallCaps/>
      <w:color w:val="000000" w:themeColor="text1"/>
      <w:sz w:val="24"/>
      <w:szCs w:val="28"/>
    </w:rPr>
  </w:style>
  <w:style w:type="character" w:styleId="Nagwek3Znak" w:customStyle="1">
    <w:name w:val="Nagłówek 3 Znak"/>
    <w:basedOn w:val="DefaultParagraphFont"/>
    <w:link w:val="Nagwek3"/>
    <w:qFormat/>
    <w:rsid w:val="00474dc8"/>
    <w:rPr>
      <w:rFonts w:ascii="Cambria" w:hAnsi="Cambria" w:eastAsia="" w:cs="" w:asciiTheme="majorHAnsi" w:cstheme="majorBidi" w:eastAsiaTheme="majorEastAsia" w:hAnsiTheme="majorHAnsi"/>
      <w:b/>
      <w:bCs/>
      <w:smallCaps/>
      <w:color w:val="000000" w:themeColor="text1"/>
    </w:rPr>
  </w:style>
  <w:style w:type="character" w:styleId="Czeinternetowe">
    <w:name w:val="Łącze internetowe"/>
    <w:uiPriority w:val="99"/>
    <w:unhideWhenUsed/>
    <w:rsid w:val="00565f9b"/>
    <w:rPr>
      <w:color w:val="0000FF"/>
      <w:u w:val="single"/>
    </w:rPr>
  </w:style>
  <w:style w:type="character" w:styleId="Strong">
    <w:name w:val="Strong"/>
    <w:basedOn w:val="DefaultParagraphFont"/>
    <w:uiPriority w:val="22"/>
    <w:qFormat/>
    <w:rsid w:val="006e77bf"/>
    <w:rPr>
      <w:b/>
      <w:bCs/>
      <w:color w:val="000000" w:themeColor="text1"/>
    </w:rPr>
  </w:style>
  <w:style w:type="character" w:styleId="IntenseReference">
    <w:name w:val="Intense Reference"/>
    <w:basedOn w:val="DefaultParagraphFont"/>
    <w:uiPriority w:val="32"/>
    <w:qFormat/>
    <w:rsid w:val="006e77bf"/>
    <w:rPr>
      <w:b/>
      <w:bCs/>
      <w:smallCaps/>
      <w:u w:val="single"/>
    </w:rPr>
  </w:style>
  <w:style w:type="character" w:styleId="SubtleReference">
    <w:name w:val="Subtle Reference"/>
    <w:basedOn w:val="DefaultParagraphFont"/>
    <w:uiPriority w:val="31"/>
    <w:qFormat/>
    <w:rsid w:val="006e77bf"/>
    <w:rPr>
      <w:smallCaps/>
      <w:color w:val="404040" w:themeColor="text1" w:themeTint="bf"/>
      <w:u w:val="single" w:color="7F7F7F"/>
    </w:rPr>
  </w:style>
  <w:style w:type="character" w:styleId="StopkaZnak" w:customStyle="1">
    <w:name w:val="Stopka Znak"/>
    <w:basedOn w:val="DefaultParagraphFont"/>
    <w:link w:val="Stopka"/>
    <w:qFormat/>
    <w:rsid w:val="00565f9b"/>
    <w:rPr>
      <w:rFonts w:eastAsia="Times New Roman" w:cs="Times New Roman"/>
      <w:sz w:val="14"/>
      <w:lang w:eastAsia="pl-PL"/>
    </w:rPr>
  </w:style>
  <w:style w:type="character" w:styleId="PlaceholderText">
    <w:name w:val="Placeholder Text"/>
    <w:basedOn w:val="DefaultParagraphFont"/>
    <w:uiPriority w:val="99"/>
    <w:semiHidden/>
    <w:qFormat/>
    <w:rsid w:val="00565f9b"/>
    <w:rPr>
      <w:color w:val="808080"/>
    </w:rPr>
  </w:style>
  <w:style w:type="character" w:styleId="TekstdymkaZnak" w:customStyle="1">
    <w:name w:val="Tekst dymka Znak"/>
    <w:basedOn w:val="DefaultParagraphFont"/>
    <w:link w:val="Tekstdymka"/>
    <w:uiPriority w:val="99"/>
    <w:semiHidden/>
    <w:qFormat/>
    <w:rsid w:val="00565f9b"/>
    <w:rPr>
      <w:rFonts w:ascii="Tahoma" w:hAnsi="Tahoma" w:eastAsia="Times New Roman" w:cs="Tahoma"/>
      <w:i/>
      <w:sz w:val="16"/>
      <w:szCs w:val="16"/>
      <w:lang w:eastAsia="pl-PL"/>
    </w:rPr>
  </w:style>
  <w:style w:type="character" w:styleId="NagwekZnak" w:customStyle="1">
    <w:name w:val="Nagłówek Znak"/>
    <w:basedOn w:val="DefaultParagraphFont"/>
    <w:link w:val="Nagwek"/>
    <w:uiPriority w:val="99"/>
    <w:qFormat/>
    <w:rsid w:val="001d7f8b"/>
    <w:rPr>
      <w:rFonts w:eastAsia="Times New Roman" w:cs="Times New Roman"/>
      <w:i/>
      <w:lang w:eastAsia="pl-PL"/>
    </w:rPr>
  </w:style>
  <w:style w:type="character" w:styleId="TabelkiZnak" w:customStyle="1">
    <w:name w:val="tabelki Znak"/>
    <w:link w:val="tabelki"/>
    <w:qFormat/>
    <w:rsid w:val="0017364f"/>
    <w:rPr>
      <w:rFonts w:ascii="Tahoma" w:hAnsi="Tahoma" w:eastAsia="Times New Roman" w:cs="Times New Roman"/>
      <w:i/>
      <w:sz w:val="24"/>
      <w:szCs w:val="24"/>
      <w:lang w:eastAsia="pl-PL"/>
    </w:rPr>
  </w:style>
  <w:style w:type="character" w:styleId="Nierozpoznanawzmianka1" w:customStyle="1">
    <w:name w:val="Nierozpoznana wzmianka1"/>
    <w:basedOn w:val="DefaultParagraphFont"/>
    <w:uiPriority w:val="99"/>
    <w:semiHidden/>
    <w:unhideWhenUsed/>
    <w:qFormat/>
    <w:rsid w:val="00476900"/>
    <w:rPr>
      <w:color w:val="808080"/>
      <w:shd w:fill="E6E6E6" w:val="clear"/>
    </w:rPr>
  </w:style>
  <w:style w:type="character" w:styleId="Nagwek4Znak" w:customStyle="1">
    <w:name w:val="Nagłówek 4 Znak"/>
    <w:basedOn w:val="DefaultParagraphFont"/>
    <w:link w:val="Nagwek4"/>
    <w:uiPriority w:val="9"/>
    <w:qFormat/>
    <w:rsid w:val="00425415"/>
    <w:rPr>
      <w:rFonts w:ascii="Cambria" w:hAnsi="Cambria" w:eastAsia="" w:cs="" w:asciiTheme="majorHAnsi" w:cstheme="majorBidi" w:eastAsiaTheme="majorEastAsia" w:hAnsiTheme="majorHAnsi"/>
      <w:b/>
      <w:bCs/>
      <w:iCs/>
      <w:smallCaps/>
      <w:color w:val="000000" w:themeColor="text1"/>
    </w:rPr>
  </w:style>
  <w:style w:type="character" w:styleId="Nagwek5Znak" w:customStyle="1">
    <w:name w:val="Nagłówek 5 Znak"/>
    <w:basedOn w:val="DefaultParagraphFont"/>
    <w:link w:val="Nagwek5"/>
    <w:uiPriority w:val="9"/>
    <w:qFormat/>
    <w:rsid w:val="00fa4b06"/>
    <w:rPr>
      <w:rFonts w:ascii="Cambria" w:hAnsi="Cambria" w:eastAsia="" w:cs="" w:asciiTheme="majorHAnsi" w:cstheme="majorBidi" w:eastAsiaTheme="majorEastAsia" w:hAnsiTheme="majorHAnsi"/>
    </w:rPr>
  </w:style>
  <w:style w:type="character" w:styleId="Nierozpoznanawzmianka2" w:customStyle="1">
    <w:name w:val="Nierozpoznana wzmianka2"/>
    <w:basedOn w:val="DefaultParagraphFont"/>
    <w:uiPriority w:val="99"/>
    <w:semiHidden/>
    <w:unhideWhenUsed/>
    <w:qFormat/>
    <w:rsid w:val="00c03eb2"/>
    <w:rPr>
      <w:color w:val="605E5C"/>
      <w:shd w:fill="E1DFDD" w:val="clear"/>
    </w:rPr>
  </w:style>
  <w:style w:type="character" w:styleId="Annotationreference">
    <w:name w:val="annotation reference"/>
    <w:basedOn w:val="DefaultParagraphFont"/>
    <w:uiPriority w:val="99"/>
    <w:semiHidden/>
    <w:unhideWhenUsed/>
    <w:qFormat/>
    <w:rsid w:val="00e30944"/>
    <w:rPr>
      <w:sz w:val="16"/>
      <w:szCs w:val="16"/>
    </w:rPr>
  </w:style>
  <w:style w:type="character" w:styleId="TekstkomentarzaZnak" w:customStyle="1">
    <w:name w:val="Tekst komentarza Znak"/>
    <w:basedOn w:val="DefaultParagraphFont"/>
    <w:link w:val="Tekstkomentarza"/>
    <w:uiPriority w:val="99"/>
    <w:semiHidden/>
    <w:qFormat/>
    <w:rsid w:val="00e30944"/>
    <w:rPr>
      <w:rFonts w:ascii="Tahoma" w:hAnsi="Tahoma" w:eastAsia="Times New Roman" w:cs="Times New Roman"/>
      <w:i/>
      <w:sz w:val="20"/>
      <w:szCs w:val="20"/>
      <w:lang w:eastAsia="pl-PL"/>
    </w:rPr>
  </w:style>
  <w:style w:type="character" w:styleId="TematkomentarzaZnak" w:customStyle="1">
    <w:name w:val="Temat komentarza Znak"/>
    <w:basedOn w:val="TekstkomentarzaZnak"/>
    <w:link w:val="Tematkomentarza"/>
    <w:uiPriority w:val="99"/>
    <w:semiHidden/>
    <w:qFormat/>
    <w:rsid w:val="00e30944"/>
    <w:rPr>
      <w:rFonts w:ascii="Tahoma" w:hAnsi="Tahoma" w:eastAsia="Times New Roman" w:cs="Times New Roman"/>
      <w:b/>
      <w:bCs/>
      <w:i/>
      <w:sz w:val="20"/>
      <w:szCs w:val="20"/>
      <w:lang w:eastAsia="pl-PL"/>
    </w:rPr>
  </w:style>
  <w:style w:type="character" w:styleId="Wyrnienie">
    <w:name w:val="Wyróżnienie"/>
    <w:basedOn w:val="DefaultParagraphFont"/>
    <w:uiPriority w:val="20"/>
    <w:qFormat/>
    <w:rsid w:val="006e77bf"/>
    <w:rPr>
      <w:i/>
      <w:iCs/>
      <w:color w:val="auto"/>
    </w:rPr>
  </w:style>
  <w:style w:type="character" w:styleId="PUNKTORYZnak" w:customStyle="1">
    <w:name w:val="PUNKTORY Znak"/>
    <w:link w:val="PUNKTORY"/>
    <w:qFormat/>
    <w:rsid w:val="001c5a1f"/>
    <w:rPr>
      <w:rFonts w:cs="Tahoma"/>
    </w:rPr>
  </w:style>
  <w:style w:type="character" w:styleId="Nagwek6Znak" w:customStyle="1">
    <w:name w:val="Nagłówek 6 Znak"/>
    <w:basedOn w:val="DefaultParagraphFont"/>
    <w:link w:val="Nagwek6"/>
    <w:uiPriority w:val="9"/>
    <w:semiHidden/>
    <w:qFormat/>
    <w:rsid w:val="006e77bf"/>
    <w:rPr>
      <w:rFonts w:ascii="Cambria" w:hAnsi="Cambria" w:eastAsia="" w:cs="" w:asciiTheme="majorHAnsi" w:cstheme="majorBidi" w:eastAsiaTheme="majorEastAsia" w:hAnsiTheme="majorHAnsi"/>
      <w:i/>
      <w:iCs/>
      <w:color w:val="102326" w:themeColor="text2" w:themeShade="bf"/>
    </w:rPr>
  </w:style>
  <w:style w:type="character" w:styleId="Nagwek7Znak" w:customStyle="1">
    <w:name w:val="Nagłówek 7 Znak"/>
    <w:basedOn w:val="DefaultParagraphFont"/>
    <w:link w:val="Nagwek7"/>
    <w:uiPriority w:val="9"/>
    <w:semiHidden/>
    <w:qFormat/>
    <w:rsid w:val="006e77bf"/>
    <w:rPr>
      <w:rFonts w:ascii="Cambria" w:hAnsi="Cambria" w:eastAsia="" w:cs="" w:asciiTheme="majorHAnsi" w:cstheme="majorBidi" w:eastAsiaTheme="majorEastAsia" w:hAnsiTheme="majorHAnsi"/>
      <w:i/>
      <w:iCs/>
      <w:color w:val="404040" w:themeColor="text1" w:themeTint="bf"/>
    </w:rPr>
  </w:style>
  <w:style w:type="character" w:styleId="Nagwek8Znak" w:customStyle="1">
    <w:name w:val="Nagłówek 8 Znak"/>
    <w:basedOn w:val="DefaultParagraphFont"/>
    <w:link w:val="Nagwek8"/>
    <w:uiPriority w:val="9"/>
    <w:semiHidden/>
    <w:qFormat/>
    <w:rsid w:val="006e77bf"/>
    <w:rPr>
      <w:rFonts w:ascii="Cambria" w:hAnsi="Cambria" w:eastAsia="" w:cs="" w:asciiTheme="majorHAnsi" w:cstheme="majorBidi" w:eastAsiaTheme="majorEastAsia" w:hAnsiTheme="majorHAnsi"/>
      <w:color w:val="404040" w:themeColor="text1" w:themeTint="bf"/>
      <w:sz w:val="20"/>
      <w:szCs w:val="20"/>
    </w:rPr>
  </w:style>
  <w:style w:type="character" w:styleId="Nagwek9Znak" w:customStyle="1">
    <w:name w:val="Nagłówek 9 Znak"/>
    <w:basedOn w:val="DefaultParagraphFont"/>
    <w:link w:val="Nagwek9"/>
    <w:uiPriority w:val="9"/>
    <w:semiHidden/>
    <w:qFormat/>
    <w:rsid w:val="006e77bf"/>
    <w:rPr>
      <w:rFonts w:ascii="Cambria" w:hAnsi="Cambria" w:eastAsia="" w:cs="" w:asciiTheme="majorHAnsi" w:cstheme="majorBidi" w:eastAsiaTheme="majorEastAsia" w:hAnsiTheme="majorHAnsi"/>
      <w:i/>
      <w:iCs/>
      <w:color w:val="404040" w:themeColor="text1" w:themeTint="bf"/>
      <w:sz w:val="20"/>
      <w:szCs w:val="20"/>
    </w:rPr>
  </w:style>
  <w:style w:type="character" w:styleId="TytuZnak" w:customStyle="1">
    <w:name w:val="Tytuł Znak"/>
    <w:basedOn w:val="DefaultParagraphFont"/>
    <w:link w:val="Tytu"/>
    <w:uiPriority w:val="10"/>
    <w:qFormat/>
    <w:rsid w:val="003a06c6"/>
    <w:rPr/>
  </w:style>
  <w:style w:type="character" w:styleId="PodtytuZnak" w:customStyle="1">
    <w:name w:val="Podtytuł Znak"/>
    <w:basedOn w:val="DefaultParagraphFont"/>
    <w:link w:val="Podtytu"/>
    <w:uiPriority w:val="11"/>
    <w:qFormat/>
    <w:rsid w:val="006e77bf"/>
    <w:rPr>
      <w:color w:val="5A5A5A" w:themeColor="text1" w:themeTint="a5"/>
      <w:spacing w:val="10"/>
    </w:rPr>
  </w:style>
  <w:style w:type="character" w:styleId="CytatZnak" w:customStyle="1">
    <w:name w:val="Cytat Znak"/>
    <w:basedOn w:val="DefaultParagraphFont"/>
    <w:link w:val="Cytat"/>
    <w:uiPriority w:val="29"/>
    <w:qFormat/>
    <w:rsid w:val="006e77bf"/>
    <w:rPr>
      <w:i/>
      <w:iCs/>
      <w:color w:val="000000" w:themeColor="text1"/>
    </w:rPr>
  </w:style>
  <w:style w:type="character" w:styleId="CytatintensywnyZnak" w:customStyle="1">
    <w:name w:val="Cytat intensywny Znak"/>
    <w:basedOn w:val="DefaultParagraphFont"/>
    <w:link w:val="Cytatintensywny"/>
    <w:uiPriority w:val="30"/>
    <w:qFormat/>
    <w:rsid w:val="006e77bf"/>
    <w:rPr>
      <w:color w:val="000000" w:themeColor="text1"/>
      <w:shd w:fill="F2F2F2" w:val="clear"/>
    </w:rPr>
  </w:style>
  <w:style w:type="character" w:styleId="SubtleEmphasis">
    <w:name w:val="Subtle Emphasis"/>
    <w:basedOn w:val="DefaultParagraphFont"/>
    <w:uiPriority w:val="19"/>
    <w:qFormat/>
    <w:rsid w:val="006e77bf"/>
    <w:rPr>
      <w:i/>
      <w:iCs/>
      <w:color w:val="404040" w:themeColor="text1" w:themeTint="bf"/>
    </w:rPr>
  </w:style>
  <w:style w:type="character" w:styleId="IntenseEmphasis">
    <w:name w:val="Intense Emphasis"/>
    <w:basedOn w:val="DefaultParagraphFont"/>
    <w:uiPriority w:val="21"/>
    <w:qFormat/>
    <w:rsid w:val="006e77bf"/>
    <w:rPr>
      <w:b/>
      <w:bCs/>
      <w:i/>
      <w:iCs/>
      <w:caps/>
    </w:rPr>
  </w:style>
  <w:style w:type="character" w:styleId="BookTitle">
    <w:name w:val="Book Title"/>
    <w:basedOn w:val="DefaultParagraphFont"/>
    <w:uiPriority w:val="33"/>
    <w:qFormat/>
    <w:rsid w:val="006e77bf"/>
    <w:rPr>
      <w:b w:val="false"/>
      <w:bCs w:val="false"/>
      <w:smallCaps/>
      <w:spacing w:val="5"/>
    </w:rPr>
  </w:style>
  <w:style w:type="character" w:styleId="TekstprzypisukocowegoZnak" w:customStyle="1">
    <w:name w:val="Tekst przypisu końcowego Znak"/>
    <w:basedOn w:val="DefaultParagraphFont"/>
    <w:link w:val="Tekstprzypisukocowego"/>
    <w:uiPriority w:val="99"/>
    <w:semiHidden/>
    <w:qFormat/>
    <w:rsid w:val="00ea1cde"/>
    <w:rPr>
      <w:sz w:val="20"/>
      <w:szCs w:val="20"/>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ea1cde"/>
    <w:rPr>
      <w:vertAlign w:val="superscript"/>
    </w:rPr>
  </w:style>
  <w:style w:type="character" w:styleId="Tekst115Znak" w:customStyle="1">
    <w:name w:val=".Tekst 1.15 Znak"/>
    <w:link w:val="Tekst115"/>
    <w:qFormat/>
    <w:rsid w:val="00903234"/>
    <w:rPr>
      <w:rFonts w:ascii="Arial Narrow" w:hAnsi="Arial Narrow" w:eastAsia="Calibri" w:cs="Times New Roman"/>
      <w:sz w:val="24"/>
      <w:szCs w:val="24"/>
    </w:rPr>
  </w:style>
  <w:style w:type="character" w:styleId="TekstprzypisudolnegoZnak" w:customStyle="1">
    <w:name w:val="Tekst przypisu dolnego Znak"/>
    <w:basedOn w:val="DefaultParagraphFont"/>
    <w:link w:val="Tekstprzypisudolnego"/>
    <w:uiPriority w:val="99"/>
    <w:semiHidden/>
    <w:qFormat/>
    <w:rsid w:val="0040233b"/>
    <w:rPr>
      <w:sz w:val="20"/>
      <w:szCs w:val="20"/>
    </w:rPr>
  </w:style>
  <w:style w:type="character" w:styleId="Zakotwiczenieprzypisudolnego">
    <w:name w:val="Zakotwiczenie przypisu dolnego"/>
    <w:rPr>
      <w:vertAlign w:val="superscript"/>
    </w:rPr>
  </w:style>
  <w:style w:type="character" w:styleId="FootnoteCharacters">
    <w:name w:val="Footnote Characters"/>
    <w:basedOn w:val="DefaultParagraphFont"/>
    <w:qFormat/>
    <w:rsid w:val="0040233b"/>
    <w:rPr>
      <w:vertAlign w:val="superscript"/>
    </w:rPr>
  </w:style>
  <w:style w:type="character" w:styleId="Odwiedzoneczeinternetowe">
    <w:name w:val="Odwiedzone łącze internetowe"/>
    <w:basedOn w:val="DefaultParagraphFont"/>
    <w:uiPriority w:val="99"/>
    <w:semiHidden/>
    <w:unhideWhenUsed/>
    <w:rsid w:val="00f7434b"/>
    <w:rPr>
      <w:color w:val="954F72"/>
      <w:u w:val="single"/>
    </w:rPr>
  </w:style>
  <w:style w:type="character" w:styleId="UnresolvedMention">
    <w:name w:val="Unresolved Mention"/>
    <w:basedOn w:val="DefaultParagraphFont"/>
    <w:uiPriority w:val="99"/>
    <w:semiHidden/>
    <w:unhideWhenUsed/>
    <w:qFormat/>
    <w:rsid w:val="004b1586"/>
    <w:rPr>
      <w:color w:val="605E5C"/>
      <w:shd w:fill="E1DFDD" w:val="clear"/>
    </w:rPr>
  </w:style>
  <w:style w:type="character" w:styleId="TekstpodstawowyZnak" w:customStyle="1">
    <w:name w:val="Tekst podstawowy Znak"/>
    <w:basedOn w:val="DefaultParagraphFont"/>
    <w:link w:val="Tekstpodstawowy"/>
    <w:semiHidden/>
    <w:qFormat/>
    <w:rsid w:val="00fa4b06"/>
    <w:rPr>
      <w:rFonts w:ascii="Times New Roman" w:hAnsi="Times New Roman" w:eastAsia="Times New Roman" w:cs="Times New Roman"/>
      <w:kern w:val="2"/>
      <w:sz w:val="24"/>
      <w:szCs w:val="24"/>
      <w:lang w:eastAsia="ar-SA"/>
    </w:rPr>
  </w:style>
  <w:style w:type="character" w:styleId="Textcenter" w:customStyle="1">
    <w:name w:val="text-center"/>
    <w:basedOn w:val="DefaultParagraphFont"/>
    <w:qFormat/>
    <w:rsid w:val="00e154ed"/>
    <w:rPr/>
  </w:style>
  <w:style w:type="character" w:styleId="Albs" w:customStyle="1">
    <w:name w:val="a_lb-s"/>
    <w:basedOn w:val="DefaultParagraphFont"/>
    <w:qFormat/>
    <w:rsid w:val="00e154ed"/>
    <w:rPr/>
  </w:style>
  <w:style w:type="character" w:styleId="Czeindeksu">
    <w:name w:val="Łącze indeksu"/>
    <w:qFormat/>
    <w:rPr/>
  </w:style>
  <w:style w:type="character" w:styleId="Mocnewyrnione">
    <w:name w:val="Mocne wyróżnione"/>
    <w:qFormat/>
    <w:rPr>
      <w:b/>
      <w:bCs/>
    </w:rPr>
  </w:style>
  <w:style w:type="character" w:styleId="Znakiwypunktowania">
    <w:name w:val="Znaki wypunktowania"/>
    <w:qFormat/>
    <w:rPr>
      <w:rFonts w:ascii="OpenSymbol" w:hAnsi="OpenSymbol" w:eastAsia="OpenSymbol" w:cs="OpenSymbol"/>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semiHidden/>
    <w:unhideWhenUsed/>
    <w:rsid w:val="00fa4b06"/>
    <w:pPr>
      <w:suppressAutoHyphens w:val="true"/>
      <w:spacing w:lineRule="auto" w:line="240" w:before="0" w:after="120"/>
      <w:jc w:val="left"/>
    </w:pPr>
    <w:rPr>
      <w:rFonts w:ascii="Times New Roman" w:hAnsi="Times New Roman" w:eastAsia="Times New Roman" w:cs="Times New Roman"/>
      <w:kern w:val="2"/>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lang w:val="zxx" w:eastAsia="zxx" w:bidi="zxx"/>
    </w:rPr>
  </w:style>
  <w:style w:type="paragraph" w:styleId="Stopkanrstrony" w:customStyle="1">
    <w:name w:val="Stopka - nr strony"/>
    <w:basedOn w:val="Normal"/>
    <w:next w:val="Normal"/>
    <w:qFormat/>
    <w:rsid w:val="00565f9b"/>
    <w:pPr>
      <w:spacing w:lineRule="auto" w:line="240"/>
      <w:jc w:val="center"/>
    </w:pPr>
    <w:rPr>
      <w:rFonts w:ascii="Times New Roman" w:hAnsi="Times New Roman"/>
      <w:sz w:val="20"/>
    </w:rPr>
  </w:style>
  <w:style w:type="paragraph" w:styleId="Wypunktowanie" w:customStyle="1">
    <w:name w:val="wypunktowanie"/>
    <w:basedOn w:val="Normal"/>
    <w:next w:val="Normal"/>
    <w:qFormat/>
    <w:rsid w:val="008968b6"/>
    <w:pPr>
      <w:numPr>
        <w:ilvl w:val="0"/>
        <w:numId w:val="2"/>
      </w:numPr>
      <w:spacing w:before="0" w:after="0"/>
    </w:pPr>
    <w:rPr/>
  </w:style>
  <w:style w:type="paragraph" w:styleId="TOCHeading">
    <w:name w:val="TOC Heading"/>
    <w:basedOn w:val="Nagwekindeksu"/>
    <w:next w:val="Normal"/>
    <w:uiPriority w:val="39"/>
    <w:unhideWhenUsed/>
    <w:qFormat/>
    <w:rsid w:val="006e77bf"/>
    <w:pPr>
      <w:numPr>
        <w:ilvl w:val="0"/>
        <w:numId w:val="0"/>
      </w:numPr>
      <w:suppressLineNumbers/>
      <w:ind w:left="0" w:hanging="0"/>
    </w:pPr>
    <w:rPr>
      <w:b/>
      <w:bCs/>
      <w:sz w:val="32"/>
      <w:szCs w:val="32"/>
    </w:rPr>
  </w:style>
  <w:style w:type="paragraph" w:styleId="Nagwekindeksu">
    <w:name w:val="Index Heading"/>
    <w:basedOn w:val="Nagwek"/>
    <w:pPr>
      <w:suppressLineNumbers/>
      <w:ind w:left="0" w:hanging="0"/>
    </w:pPr>
    <w:rPr>
      <w:b/>
      <w:bCs/>
      <w:sz w:val="32"/>
      <w:szCs w:val="32"/>
    </w:rPr>
  </w:style>
  <w:style w:type="paragraph" w:styleId="Spistreci1">
    <w:name w:val="TOC 1"/>
    <w:basedOn w:val="Normal"/>
    <w:next w:val="Normal"/>
    <w:autoRedefine/>
    <w:uiPriority w:val="39"/>
    <w:rsid w:val="00b71e3c"/>
    <w:pPr>
      <w:tabs>
        <w:tab w:val="clear" w:pos="708"/>
        <w:tab w:val="left" w:pos="142" w:leader="none"/>
        <w:tab w:val="left" w:pos="426" w:leader="none"/>
        <w:tab w:val="right" w:pos="9062" w:leader="dot"/>
      </w:tabs>
      <w:spacing w:before="0" w:after="0"/>
    </w:pPr>
    <w:rPr>
      <w:b/>
      <w:bCs/>
    </w:rPr>
  </w:style>
  <w:style w:type="paragraph" w:styleId="Spistreci2">
    <w:name w:val="TOC 2"/>
    <w:basedOn w:val="Normal"/>
    <w:next w:val="Normal"/>
    <w:autoRedefine/>
    <w:uiPriority w:val="39"/>
    <w:rsid w:val="00ca68a5"/>
    <w:pPr>
      <w:tabs>
        <w:tab w:val="clear" w:pos="708"/>
        <w:tab w:val="left" w:pos="284" w:leader="none"/>
        <w:tab w:val="left" w:pos="709" w:leader="none"/>
        <w:tab w:val="right" w:pos="9062" w:leader="dot"/>
      </w:tabs>
      <w:spacing w:before="0" w:after="0"/>
      <w:ind w:left="284" w:hanging="284"/>
    </w:pPr>
    <w:rPr>
      <w:sz w:val="20"/>
    </w:rPr>
  </w:style>
  <w:style w:type="paragraph" w:styleId="Spistreci3">
    <w:name w:val="TOC 3"/>
    <w:basedOn w:val="Normal"/>
    <w:next w:val="Normal"/>
    <w:autoRedefine/>
    <w:uiPriority w:val="39"/>
    <w:rsid w:val="00036241"/>
    <w:pPr>
      <w:tabs>
        <w:tab w:val="clear" w:pos="708"/>
        <w:tab w:val="left" w:pos="1929" w:leader="none"/>
        <w:tab w:val="right" w:pos="9062" w:leader="dot"/>
      </w:tabs>
      <w:spacing w:before="0" w:after="0"/>
      <w:ind w:left="1134" w:hanging="0"/>
    </w:pPr>
    <w:rPr>
      <w:sz w:val="18"/>
    </w:rPr>
  </w:style>
  <w:style w:type="paragraph" w:styleId="Wypunktowanie2" w:customStyle="1">
    <w:name w:val="wypunktowanie 2"/>
    <w:basedOn w:val="Wypunktowanie"/>
    <w:qFormat/>
    <w:rsid w:val="00152f50"/>
    <w:pPr>
      <w:numPr>
        <w:ilvl w:val="0"/>
        <w:numId w:val="3"/>
      </w:numPr>
    </w:pPr>
    <w:rPr/>
  </w:style>
  <w:style w:type="paragraph" w:styleId="Gwkaistopka">
    <w:name w:val="Główka i stopka"/>
    <w:basedOn w:val="Normal"/>
    <w:qFormat/>
    <w:pPr/>
    <w:rPr/>
  </w:style>
  <w:style w:type="paragraph" w:styleId="Stopka">
    <w:name w:val="Footer"/>
    <w:basedOn w:val="Normal"/>
    <w:link w:val="StopkaZnak"/>
    <w:uiPriority w:val="99"/>
    <w:rsid w:val="00565f9b"/>
    <w:pPr>
      <w:tabs>
        <w:tab w:val="clear" w:pos="708"/>
        <w:tab w:val="center" w:pos="4536" w:leader="none"/>
        <w:tab w:val="right" w:pos="9072" w:leader="none"/>
      </w:tabs>
      <w:jc w:val="center"/>
    </w:pPr>
    <w:rPr>
      <w:i/>
      <w:sz w:val="14"/>
    </w:rPr>
  </w:style>
  <w:style w:type="paragraph" w:styleId="BalloonText">
    <w:name w:val="Balloon Text"/>
    <w:basedOn w:val="Normal"/>
    <w:link w:val="TekstdymkaZnak"/>
    <w:uiPriority w:val="99"/>
    <w:semiHidden/>
    <w:unhideWhenUsed/>
    <w:qFormat/>
    <w:rsid w:val="00565f9b"/>
    <w:pPr>
      <w:spacing w:lineRule="auto" w:line="240" w:before="0" w:after="0"/>
    </w:pPr>
    <w:rPr>
      <w:rFonts w:cs="Tahoma"/>
      <w:sz w:val="16"/>
      <w:szCs w:val="16"/>
    </w:rPr>
  </w:style>
  <w:style w:type="paragraph" w:styleId="Gwka">
    <w:name w:val="Header"/>
    <w:basedOn w:val="Normal"/>
    <w:link w:val="NagwekZnak"/>
    <w:uiPriority w:val="99"/>
    <w:unhideWhenUsed/>
    <w:rsid w:val="001d7f8b"/>
    <w:pPr>
      <w:tabs>
        <w:tab w:val="clear" w:pos="708"/>
        <w:tab w:val="center" w:pos="4536" w:leader="none"/>
        <w:tab w:val="right" w:pos="9072" w:leader="none"/>
      </w:tabs>
      <w:spacing w:lineRule="auto" w:line="240" w:before="0" w:after="0"/>
    </w:pPr>
    <w:rPr/>
  </w:style>
  <w:style w:type="paragraph" w:styleId="Tabelki" w:customStyle="1">
    <w:name w:val="tabelki"/>
    <w:basedOn w:val="Normal"/>
    <w:link w:val="tabelkiZnak"/>
    <w:qFormat/>
    <w:rsid w:val="0017364f"/>
    <w:pPr>
      <w:spacing w:lineRule="auto" w:line="240" w:before="0" w:after="0"/>
    </w:pPr>
    <w:rPr>
      <w:szCs w:val="24"/>
    </w:rPr>
  </w:style>
  <w:style w:type="paragraph" w:styleId="Numerowanie" w:customStyle="1">
    <w:name w:val="Numerowanie"/>
    <w:basedOn w:val="Normal"/>
    <w:next w:val="Normal"/>
    <w:qFormat/>
    <w:rsid w:val="00fd61d0"/>
    <w:pPr>
      <w:numPr>
        <w:ilvl w:val="0"/>
        <w:numId w:val="4"/>
      </w:numPr>
      <w:tabs>
        <w:tab w:val="clear" w:pos="708"/>
        <w:tab w:val="left" w:pos="1134" w:leader="none"/>
      </w:tabs>
      <w:ind w:left="709" w:hanging="0"/>
    </w:pPr>
    <w:rPr>
      <w:rFonts w:ascii="Times New Roman" w:hAnsi="Times New Roman"/>
    </w:rPr>
  </w:style>
  <w:style w:type="paragraph" w:styleId="Normalnycytat" w:customStyle="1">
    <w:name w:val="Normalny - cytat"/>
    <w:basedOn w:val="Normal"/>
    <w:next w:val="Normal"/>
    <w:qFormat/>
    <w:rsid w:val="00fd61d0"/>
    <w:pPr/>
    <w:rPr>
      <w:rFonts w:ascii="Century Gothic" w:hAnsi="Century Gothic"/>
      <w:i/>
    </w:rPr>
  </w:style>
  <w:style w:type="paragraph" w:styleId="ListParagraph">
    <w:name w:val="List Paragraph"/>
    <w:basedOn w:val="Normal"/>
    <w:uiPriority w:val="34"/>
    <w:qFormat/>
    <w:rsid w:val="00e37f7d"/>
    <w:pPr>
      <w:spacing w:before="0" w:after="160"/>
      <w:ind w:left="720" w:hanging="0"/>
      <w:contextualSpacing/>
    </w:pPr>
    <w:rPr/>
  </w:style>
  <w:style w:type="paragraph" w:styleId="Annotationtext">
    <w:name w:val="annotation text"/>
    <w:basedOn w:val="Normal"/>
    <w:link w:val="TekstkomentarzaZnak"/>
    <w:uiPriority w:val="99"/>
    <w:semiHidden/>
    <w:unhideWhenUsed/>
    <w:qFormat/>
    <w:rsid w:val="00e30944"/>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e30944"/>
    <w:pPr/>
    <w:rPr>
      <w:b/>
      <w:bCs/>
    </w:rPr>
  </w:style>
  <w:style w:type="paragraph" w:styleId="PUNKTORY" w:customStyle="1">
    <w:name w:val="PUNKTORY"/>
    <w:basedOn w:val="ListParagraph"/>
    <w:link w:val="PUNKTORYZnak"/>
    <w:qFormat/>
    <w:rsid w:val="001c5a1f"/>
    <w:pPr>
      <w:numPr>
        <w:ilvl w:val="0"/>
        <w:numId w:val="5"/>
      </w:numPr>
      <w:tabs>
        <w:tab w:val="clear" w:pos="708"/>
        <w:tab w:val="left" w:pos="720" w:leader="none"/>
      </w:tabs>
      <w:spacing w:before="0" w:after="0"/>
      <w:contextualSpacing/>
    </w:pPr>
    <w:rPr>
      <w:rFonts w:cs="Tahoma"/>
    </w:rPr>
  </w:style>
  <w:style w:type="paragraph" w:styleId="Caption">
    <w:name w:val="caption"/>
    <w:basedOn w:val="Normal"/>
    <w:next w:val="Normal"/>
    <w:uiPriority w:val="35"/>
    <w:semiHidden/>
    <w:unhideWhenUsed/>
    <w:qFormat/>
    <w:rsid w:val="006e77bf"/>
    <w:pPr>
      <w:spacing w:lineRule="auto" w:line="240" w:before="0" w:after="200"/>
    </w:pPr>
    <w:rPr>
      <w:i/>
      <w:iCs/>
      <w:color w:val="162F33" w:themeColor="text2"/>
      <w:sz w:val="18"/>
      <w:szCs w:val="18"/>
    </w:rPr>
  </w:style>
  <w:style w:type="paragraph" w:styleId="Tytu">
    <w:name w:val="Title"/>
    <w:basedOn w:val="Wypunktowanie"/>
    <w:next w:val="Normal"/>
    <w:link w:val="TytuZnak"/>
    <w:uiPriority w:val="10"/>
    <w:qFormat/>
    <w:rsid w:val="003a06c6"/>
    <w:pPr/>
    <w:rPr/>
  </w:style>
  <w:style w:type="paragraph" w:styleId="Podtytu">
    <w:name w:val="Subtitle"/>
    <w:basedOn w:val="Normal"/>
    <w:next w:val="Normal"/>
    <w:link w:val="PodtytuZnak"/>
    <w:uiPriority w:val="11"/>
    <w:qFormat/>
    <w:rsid w:val="006e77bf"/>
    <w:pPr/>
    <w:rPr>
      <w:color w:val="5A5A5A" w:themeColor="text1" w:themeTint="a5"/>
      <w:spacing w:val="10"/>
    </w:rPr>
  </w:style>
  <w:style w:type="paragraph" w:styleId="NoSpacing">
    <w:name w:val="No Spacing"/>
    <w:uiPriority w:val="1"/>
    <w:qFormat/>
    <w:rsid w:val="006e77bf"/>
    <w:pPr>
      <w:widowControl/>
      <w:suppressAutoHyphens w:val="true"/>
      <w:bidi w:val="0"/>
      <w:spacing w:lineRule="auto" w:line="240" w:before="0" w:after="0"/>
      <w:jc w:val="left"/>
    </w:pPr>
    <w:rPr>
      <w:rFonts w:ascii="Cambria" w:hAnsi="Cambria" w:eastAsia="" w:cs="" w:asciiTheme="minorHAnsi" w:cstheme="minorBidi" w:eastAsiaTheme="minorEastAsia" w:hAnsiTheme="minorHAnsi"/>
      <w:color w:val="auto"/>
      <w:kern w:val="0"/>
      <w:sz w:val="22"/>
      <w:szCs w:val="22"/>
      <w:lang w:val="pl-PL" w:eastAsia="en-US" w:bidi="ar-SA"/>
    </w:rPr>
  </w:style>
  <w:style w:type="paragraph" w:styleId="Quote">
    <w:name w:val="Quote"/>
    <w:basedOn w:val="Normal"/>
    <w:next w:val="Normal"/>
    <w:link w:val="CytatZnak"/>
    <w:uiPriority w:val="29"/>
    <w:qFormat/>
    <w:rsid w:val="006e77bf"/>
    <w:pPr>
      <w:spacing w:before="160" w:after="160"/>
      <w:ind w:left="720" w:right="720" w:hanging="0"/>
    </w:pPr>
    <w:rPr>
      <w:i/>
      <w:iCs/>
      <w:color w:val="000000" w:themeColor="text1"/>
    </w:rPr>
  </w:style>
  <w:style w:type="paragraph" w:styleId="IntenseQuote">
    <w:name w:val="Intense Quote"/>
    <w:basedOn w:val="Normal"/>
    <w:next w:val="Normal"/>
    <w:link w:val="CytatintensywnyZnak"/>
    <w:uiPriority w:val="30"/>
    <w:qFormat/>
    <w:rsid w:val="006e77bf"/>
    <w:pPr>
      <w:pBdr>
        <w:top w:val="single" w:sz="24" w:space="1" w:color="F2F2F2"/>
        <w:bottom w:val="single" w:sz="24" w:space="1" w:color="F2F2F2"/>
      </w:pBdr>
      <w:shd w:val="clear" w:color="auto" w:fill="F2F2F2" w:themeFill="background1" w:themeFillShade="f2"/>
      <w:spacing w:before="240" w:after="240"/>
      <w:ind w:left="936" w:right="936" w:hanging="0"/>
      <w:jc w:val="center"/>
    </w:pPr>
    <w:rPr>
      <w:color w:val="000000" w:themeColor="text1"/>
    </w:rPr>
  </w:style>
  <w:style w:type="paragraph" w:styleId="Standard" w:customStyle="1">
    <w:name w:val="Standard"/>
    <w:qFormat/>
    <w:rsid w:val="00b813a4"/>
    <w:pPr>
      <w:widowControl/>
      <w:suppressAutoHyphens w:val="true"/>
      <w:bidi w:val="0"/>
      <w:spacing w:lineRule="auto" w:line="360" w:before="120" w:after="0"/>
      <w:jc w:val="left"/>
      <w:textAlignment w:val="baseline"/>
    </w:pPr>
    <w:rPr>
      <w:rFonts w:ascii="Arial" w:hAnsi="Arial" w:eastAsia="Times New Roman" w:cs="Arial"/>
      <w:color w:val="auto"/>
      <w:kern w:val="2"/>
      <w:sz w:val="22"/>
      <w:szCs w:val="22"/>
      <w:lang w:val="pl-PL" w:eastAsia="zh-CN" w:bidi="ar-SA"/>
    </w:rPr>
  </w:style>
  <w:style w:type="paragraph" w:styleId="Normalnypierwszyakapit" w:customStyle="1">
    <w:name w:val="Normalny pierwszy akapit"/>
    <w:basedOn w:val="Standard"/>
    <w:qFormat/>
    <w:rsid w:val="00b813a4"/>
    <w:pPr/>
    <w:rPr/>
  </w:style>
  <w:style w:type="paragraph" w:styleId="Przypiskocowy">
    <w:name w:val="Endnote Text"/>
    <w:basedOn w:val="Normal"/>
    <w:link w:val="TekstprzypisukocowegoZnak"/>
    <w:uiPriority w:val="99"/>
    <w:semiHidden/>
    <w:unhideWhenUsed/>
    <w:rsid w:val="00ea1cde"/>
    <w:pPr>
      <w:spacing w:lineRule="auto" w:line="240" w:before="0" w:after="0"/>
    </w:pPr>
    <w:rPr>
      <w:sz w:val="20"/>
      <w:szCs w:val="20"/>
    </w:rPr>
  </w:style>
  <w:style w:type="paragraph" w:styleId="Tekst115" w:customStyle="1">
    <w:name w:val=".Tekst 1.15"/>
    <w:basedOn w:val="Normal"/>
    <w:link w:val="Tekst115Znak"/>
    <w:qFormat/>
    <w:rsid w:val="00903234"/>
    <w:pPr>
      <w:spacing w:before="0" w:after="0"/>
      <w:ind w:firstLine="397"/>
    </w:pPr>
    <w:rPr>
      <w:rFonts w:ascii="Arial Narrow" w:hAnsi="Arial Narrow" w:eastAsia="Calibri" w:cs="Times New Roman"/>
      <w:sz w:val="24"/>
      <w:szCs w:val="24"/>
    </w:rPr>
  </w:style>
  <w:style w:type="paragraph" w:styleId="Przypisdolny">
    <w:name w:val="Footnote Text"/>
    <w:basedOn w:val="Normal"/>
    <w:link w:val="TekstprzypisudolnegoZnak"/>
    <w:uiPriority w:val="99"/>
    <w:semiHidden/>
    <w:unhideWhenUsed/>
    <w:rsid w:val="0040233b"/>
    <w:pPr>
      <w:spacing w:lineRule="auto" w:line="240" w:before="0" w:after="0"/>
    </w:pPr>
    <w:rPr>
      <w:sz w:val="20"/>
      <w:szCs w:val="20"/>
    </w:rPr>
  </w:style>
  <w:style w:type="paragraph" w:styleId="Msonormal" w:customStyle="1">
    <w:name w:val="msonormal"/>
    <w:basedOn w:val="Normal"/>
    <w:qFormat/>
    <w:rsid w:val="00f7434b"/>
    <w:pPr>
      <w:spacing w:lineRule="auto" w:line="240" w:beforeAutospacing="1" w:afterAutospacing="1"/>
      <w:jc w:val="left"/>
    </w:pPr>
    <w:rPr>
      <w:rFonts w:ascii="Times New Roman" w:hAnsi="Times New Roman" w:eastAsia="Times New Roman" w:cs="Times New Roman"/>
      <w:sz w:val="24"/>
      <w:szCs w:val="24"/>
      <w:lang w:eastAsia="pl-PL"/>
    </w:rPr>
  </w:style>
  <w:style w:type="paragraph" w:styleId="Xl69" w:customStyle="1">
    <w:name w:val="xl69"/>
    <w:basedOn w:val="Normal"/>
    <w:qFormat/>
    <w:rsid w:val="00f7434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0" w:customStyle="1">
    <w:name w:val="xl70"/>
    <w:basedOn w:val="Normal"/>
    <w:qFormat/>
    <w:rsid w:val="00f7434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1" w:customStyle="1">
    <w:name w:val="xl71"/>
    <w:basedOn w:val="Normal"/>
    <w:qFormat/>
    <w:rsid w:val="00f7434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2" w:customStyle="1">
    <w:name w:val="xl72"/>
    <w:basedOn w:val="Normal"/>
    <w:qFormat/>
    <w:rsid w:val="00f7434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3" w:customStyle="1">
    <w:name w:val="xl73"/>
    <w:basedOn w:val="Normal"/>
    <w:qFormat/>
    <w:rsid w:val="00f7434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4" w:customStyle="1">
    <w:name w:val="xl74"/>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5" w:customStyle="1">
    <w:name w:val="xl75"/>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76" w:customStyle="1">
    <w:name w:val="xl76"/>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77" w:customStyle="1">
    <w:name w:val="xl77"/>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78" w:customStyle="1">
    <w:name w:val="xl78"/>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79" w:customStyle="1">
    <w:name w:val="xl79"/>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80" w:customStyle="1">
    <w:name w:val="xl80"/>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81" w:customStyle="1">
    <w:name w:val="xl81"/>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82" w:customStyle="1">
    <w:name w:val="xl82"/>
    <w:basedOn w:val="Normal"/>
    <w:qFormat/>
    <w:rsid w:val="00f7434b"/>
    <w:pPr>
      <w:pBdr>
        <w:top w:val="single" w:sz="4" w:space="0" w:color="000000"/>
        <w:left w:val="single" w:sz="4" w:space="0" w:color="000000"/>
        <w:bottom w:val="single" w:sz="4" w:space="0" w:color="000000"/>
        <w:right w:val="single" w:sz="4" w:space="0" w:color="000000"/>
      </w:pBdr>
      <w:shd w:val="clear" w:color="FFCC99" w:fill="FFCC99"/>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83" w:customStyle="1">
    <w:name w:val="xl83"/>
    <w:basedOn w:val="Normal"/>
    <w:qFormat/>
    <w:rsid w:val="00f7434b"/>
    <w:pPr>
      <w:pBdr>
        <w:top w:val="single" w:sz="4" w:space="0" w:color="000000"/>
        <w:left w:val="single" w:sz="4" w:space="0" w:color="000000"/>
        <w:bottom w:val="single" w:sz="4" w:space="0" w:color="000000"/>
        <w:right w:val="single" w:sz="4" w:space="0" w:color="000000"/>
      </w:pBdr>
      <w:shd w:val="clear" w:color="FFCC99" w:fill="FFCC99"/>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84" w:customStyle="1">
    <w:name w:val="xl84"/>
    <w:basedOn w:val="Normal"/>
    <w:qFormat/>
    <w:rsid w:val="00f7434b"/>
    <w:pPr>
      <w:pBdr>
        <w:top w:val="single" w:sz="4" w:space="0" w:color="000000"/>
        <w:left w:val="single" w:sz="4" w:space="0" w:color="000000"/>
        <w:bottom w:val="single" w:sz="4" w:space="0" w:color="000000"/>
        <w:right w:val="single" w:sz="4" w:space="0" w:color="000000"/>
      </w:pBdr>
      <w:shd w:val="clear" w:color="FFCC99" w:fill="FFCC99"/>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85" w:customStyle="1">
    <w:name w:val="xl85"/>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86" w:customStyle="1">
    <w:name w:val="xl86"/>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87" w:customStyle="1">
    <w:name w:val="xl87"/>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88" w:customStyle="1">
    <w:name w:val="xl88"/>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89" w:customStyle="1">
    <w:name w:val="xl89"/>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90" w:customStyle="1">
    <w:name w:val="xl90"/>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91" w:customStyle="1">
    <w:name w:val="xl91"/>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92" w:customStyle="1">
    <w:name w:val="xl92"/>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93" w:customStyle="1">
    <w:name w:val="xl93"/>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94" w:customStyle="1">
    <w:name w:val="xl94"/>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95" w:customStyle="1">
    <w:name w:val="xl95"/>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96" w:customStyle="1">
    <w:name w:val="xl96"/>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97" w:customStyle="1">
    <w:name w:val="xl97"/>
    <w:basedOn w:val="Normal"/>
    <w:qFormat/>
    <w:rsid w:val="00f7434b"/>
    <w:pPr>
      <w:pBdr>
        <w:top w:val="single" w:sz="4" w:space="0" w:color="000000"/>
        <w:left w:val="single" w:sz="4" w:space="0" w:color="000000"/>
        <w:bottom w:val="single" w:sz="4" w:space="0" w:color="000000"/>
        <w:right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98" w:customStyle="1">
    <w:name w:val="xl98"/>
    <w:basedOn w:val="Normal"/>
    <w:qFormat/>
    <w:rsid w:val="00f7434b"/>
    <w:pPr>
      <w:pBdr>
        <w:top w:val="single" w:sz="4" w:space="0" w:color="000000"/>
        <w:left w:val="single" w:sz="4" w:space="0" w:color="000000"/>
        <w:bottom w:val="single" w:sz="4" w:space="0" w:color="000000"/>
        <w:right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99" w:customStyle="1">
    <w:name w:val="xl99"/>
    <w:basedOn w:val="Normal"/>
    <w:qFormat/>
    <w:rsid w:val="00f7434b"/>
    <w:pPr>
      <w:pBdr>
        <w:top w:val="single" w:sz="4" w:space="0" w:color="000000"/>
        <w:left w:val="single" w:sz="4" w:space="0" w:color="000000"/>
        <w:bottom w:val="single" w:sz="4" w:space="0" w:color="000000"/>
        <w:right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00" w:customStyle="1">
    <w:name w:val="xl100"/>
    <w:basedOn w:val="Normal"/>
    <w:qFormat/>
    <w:rsid w:val="00f7434b"/>
    <w:pPr>
      <w:pBdr>
        <w:top w:val="single" w:sz="4" w:space="0" w:color="000000"/>
        <w:left w:val="single" w:sz="4" w:space="0" w:color="000000"/>
        <w:bottom w:val="single" w:sz="4" w:space="0" w:color="000000"/>
        <w:right w:val="single" w:sz="4" w:space="0" w:color="000000"/>
      </w:pBdr>
      <w:shd w:val="clear" w:color="9BC2E6" w:fill="9BC2E6"/>
      <w:spacing w:lineRule="auto" w:line="240" w:beforeAutospacing="1" w:afterAutospacing="1"/>
      <w:jc w:val="left"/>
      <w:textAlignment w:val="center"/>
    </w:pPr>
    <w:rPr>
      <w:rFonts w:ascii="Times New Roman" w:hAnsi="Times New Roman" w:eastAsia="Times New Roman" w:cs="Times New Roman"/>
      <w:sz w:val="24"/>
      <w:szCs w:val="24"/>
      <w:lang w:eastAsia="pl-PL"/>
    </w:rPr>
  </w:style>
  <w:style w:type="paragraph" w:styleId="Xl101" w:customStyle="1">
    <w:name w:val="xl101"/>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02" w:customStyle="1">
    <w:name w:val="xl102"/>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03" w:customStyle="1">
    <w:name w:val="xl103"/>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04" w:customStyle="1">
    <w:name w:val="xl104"/>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05" w:customStyle="1">
    <w:name w:val="xl105"/>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06" w:customStyle="1">
    <w:name w:val="xl106"/>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07" w:customStyle="1">
    <w:name w:val="xl107"/>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08" w:customStyle="1">
    <w:name w:val="xl108"/>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09" w:customStyle="1">
    <w:name w:val="xl109"/>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10" w:customStyle="1">
    <w:name w:val="xl110"/>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11" w:customStyle="1">
    <w:name w:val="xl111"/>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12" w:customStyle="1">
    <w:name w:val="xl112"/>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13" w:customStyle="1">
    <w:name w:val="xl113"/>
    <w:basedOn w:val="Normal"/>
    <w:qFormat/>
    <w:rsid w:val="00f7434b"/>
    <w:pPr>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14" w:customStyle="1">
    <w:name w:val="xl114"/>
    <w:basedOn w:val="Normal"/>
    <w:qFormat/>
    <w:rsid w:val="00f7434b"/>
    <w:pPr>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15" w:customStyle="1">
    <w:name w:val="xl115"/>
    <w:basedOn w:val="Normal"/>
    <w:qFormat/>
    <w:rsid w:val="00f7434b"/>
    <w:pPr>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16" w:customStyle="1">
    <w:name w:val="xl116"/>
    <w:basedOn w:val="Normal"/>
    <w:qFormat/>
    <w:rsid w:val="00f7434b"/>
    <w:pPr>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17" w:customStyle="1">
    <w:name w:val="xl117"/>
    <w:basedOn w:val="Normal"/>
    <w:qFormat/>
    <w:rsid w:val="00f7434b"/>
    <w:pPr>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18" w:customStyle="1">
    <w:name w:val="xl118"/>
    <w:basedOn w:val="Normal"/>
    <w:qFormat/>
    <w:rsid w:val="00f7434b"/>
    <w:pPr>
      <w:pBdr>
        <w:top w:val="single" w:sz="4" w:space="0" w:color="000000"/>
        <w:left w:val="single" w:sz="4" w:space="0" w:color="000000"/>
        <w:bottom w:val="single" w:sz="4" w:space="0" w:color="000000"/>
        <w:right w:val="single" w:sz="4" w:space="0" w:color="000000"/>
      </w:pBdr>
      <w:shd w:val="clear" w:color="7DC595" w:fill="7DC595"/>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19" w:customStyle="1">
    <w:name w:val="xl119"/>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0" w:customStyle="1">
    <w:name w:val="xl120"/>
    <w:basedOn w:val="Normal"/>
    <w:qFormat/>
    <w:rsid w:val="00f7434b"/>
    <w:pPr>
      <w:pBdr>
        <w:top w:val="single" w:sz="4" w:space="0" w:color="000000"/>
        <w:left w:val="single" w:sz="4" w:space="0" w:color="000000"/>
        <w:bottom w:val="single" w:sz="4" w:space="0" w:color="000000"/>
        <w:right w:val="single" w:sz="4" w:space="0" w:color="000000"/>
      </w:pBdr>
      <w:shd w:val="clear" w:color="53AB68" w:fill="53AB68"/>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1" w:customStyle="1">
    <w:name w:val="xl121"/>
    <w:basedOn w:val="Normal"/>
    <w:qFormat/>
    <w:rsid w:val="00f7434b"/>
    <w:pPr>
      <w:pBdr>
        <w:top w:val="single" w:sz="4" w:space="0" w:color="000000"/>
        <w:left w:val="single" w:sz="4" w:space="0" w:color="000000"/>
        <w:bottom w:val="single" w:sz="4" w:space="0" w:color="000000"/>
        <w:right w:val="single" w:sz="4" w:space="0" w:color="000000"/>
      </w:pBdr>
      <w:shd w:val="clear" w:color="7DC595" w:fill="7DC595"/>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22" w:customStyle="1">
    <w:name w:val="xl122"/>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23" w:customStyle="1">
    <w:name w:val="xl123"/>
    <w:basedOn w:val="Normal"/>
    <w:qFormat/>
    <w:rsid w:val="00f7434b"/>
    <w:pPr>
      <w:pBdr>
        <w:top w:val="single" w:sz="4" w:space="0" w:color="000000"/>
        <w:left w:val="single" w:sz="4" w:space="0" w:color="000000"/>
        <w:bottom w:val="single" w:sz="4" w:space="0" w:color="000000"/>
        <w:right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24" w:customStyle="1">
    <w:name w:val="xl124"/>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5" w:customStyle="1">
    <w:name w:val="xl125"/>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6" w:customStyle="1">
    <w:name w:val="xl126"/>
    <w:basedOn w:val="Normal"/>
    <w:qFormat/>
    <w:rsid w:val="00f7434b"/>
    <w:pPr>
      <w:pBdr>
        <w:top w:val="single" w:sz="4" w:space="0" w:color="000000"/>
        <w:left w:val="single" w:sz="4" w:space="0" w:color="000000"/>
        <w:bottom w:val="single" w:sz="4" w:space="0" w:color="000000"/>
        <w:right w:val="single" w:sz="4" w:space="0" w:color="000000"/>
      </w:pBdr>
      <w:shd w:val="clear" w:color="FFCC99" w:fill="FFCC99"/>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27" w:customStyle="1">
    <w:name w:val="xl127"/>
    <w:basedOn w:val="Normal"/>
    <w:qFormat/>
    <w:rsid w:val="00f7434b"/>
    <w:pPr>
      <w:pBdr>
        <w:top w:val="single" w:sz="4" w:space="0" w:color="000000"/>
        <w:left w:val="single" w:sz="4" w:space="0" w:color="000000"/>
        <w:bottom w:val="single" w:sz="4" w:space="0" w:color="000000"/>
        <w:right w:val="single" w:sz="4" w:space="0" w:color="000000"/>
      </w:pBdr>
      <w:shd w:val="clear" w:color="FFCC99" w:fill="FFCC99"/>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8" w:customStyle="1">
    <w:name w:val="xl128"/>
    <w:basedOn w:val="Normal"/>
    <w:qFormat/>
    <w:rsid w:val="00f7434b"/>
    <w:pPr>
      <w:pBdr>
        <w:top w:val="single" w:sz="4" w:space="0" w:color="000000"/>
        <w:left w:val="single" w:sz="4" w:space="0" w:color="000000"/>
        <w:bottom w:val="single" w:sz="4" w:space="0" w:color="000000"/>
      </w:pBdr>
      <w:shd w:val="clear" w:color="FF9900" w:fill="FF9900"/>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9" w:customStyle="1">
    <w:name w:val="xl129"/>
    <w:basedOn w:val="Normal"/>
    <w:qFormat/>
    <w:rsid w:val="00f7434b"/>
    <w:pPr>
      <w:pBdr>
        <w:top w:val="single" w:sz="4" w:space="0" w:color="000000"/>
        <w:bottom w:val="single" w:sz="4" w:space="0" w:color="000000"/>
      </w:pBdr>
      <w:shd w:val="clear" w:color="FF9900" w:fill="FF9900"/>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0" w:customStyle="1">
    <w:name w:val="xl130"/>
    <w:basedOn w:val="Normal"/>
    <w:qFormat/>
    <w:rsid w:val="00f7434b"/>
    <w:pPr>
      <w:pBdr>
        <w:top w:val="single" w:sz="4" w:space="0" w:color="000000"/>
        <w:bottom w:val="single" w:sz="4" w:space="0" w:color="000000"/>
        <w:right w:val="single" w:sz="4" w:space="0" w:color="000000"/>
      </w:pBdr>
      <w:shd w:val="clear" w:color="FF9900" w:fill="FF9900"/>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1" w:customStyle="1">
    <w:name w:val="xl131"/>
    <w:basedOn w:val="Normal"/>
    <w:qFormat/>
    <w:rsid w:val="00f7434b"/>
    <w:pPr>
      <w:pBdr>
        <w:top w:val="single" w:sz="4" w:space="0" w:color="000000"/>
        <w:left w:val="single" w:sz="4" w:space="0" w:color="000000"/>
        <w:bottom w:val="single" w:sz="4" w:space="0" w:color="000000"/>
      </w:pBdr>
      <w:shd w:val="clear" w:color="FFD320" w:fill="FFD320"/>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2" w:customStyle="1">
    <w:name w:val="xl132"/>
    <w:basedOn w:val="Normal"/>
    <w:qFormat/>
    <w:rsid w:val="00f7434b"/>
    <w:pPr>
      <w:pBdr>
        <w:top w:val="single" w:sz="4" w:space="0" w:color="000000"/>
        <w:bottom w:val="single" w:sz="4" w:space="0" w:color="000000"/>
      </w:pBdr>
      <w:shd w:val="clear" w:color="FFD320" w:fill="FFD320"/>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3" w:customStyle="1">
    <w:name w:val="xl133"/>
    <w:basedOn w:val="Normal"/>
    <w:qFormat/>
    <w:rsid w:val="00f7434b"/>
    <w:pPr>
      <w:pBdr>
        <w:top w:val="single" w:sz="4" w:space="0" w:color="000000"/>
        <w:left w:val="single" w:sz="4" w:space="0" w:color="000000"/>
        <w:bottom w:val="single" w:sz="4" w:space="0" w:color="000000"/>
      </w:pBdr>
      <w:shd w:val="clear" w:color="C65911" w:fill="C65911"/>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4" w:customStyle="1">
    <w:name w:val="xl134"/>
    <w:basedOn w:val="Normal"/>
    <w:qFormat/>
    <w:rsid w:val="00f7434b"/>
    <w:pPr>
      <w:pBdr>
        <w:top w:val="single" w:sz="4" w:space="0" w:color="000000"/>
        <w:bottom w:val="single" w:sz="4" w:space="0" w:color="000000"/>
      </w:pBdr>
      <w:shd w:val="clear" w:color="C65911" w:fill="C65911"/>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5" w:customStyle="1">
    <w:name w:val="xl135"/>
    <w:basedOn w:val="Normal"/>
    <w:qFormat/>
    <w:rsid w:val="00f7434b"/>
    <w:pPr>
      <w:pBdr>
        <w:top w:val="single" w:sz="4" w:space="0" w:color="000000"/>
        <w:bottom w:val="single" w:sz="4" w:space="0" w:color="000000"/>
        <w:right w:val="single" w:sz="4" w:space="0" w:color="000000"/>
      </w:pBdr>
      <w:shd w:val="clear" w:color="C65911" w:fill="C65911"/>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6" w:customStyle="1">
    <w:name w:val="xl136"/>
    <w:basedOn w:val="Normal"/>
    <w:qFormat/>
    <w:rsid w:val="00f7434b"/>
    <w:pPr>
      <w:pBdr>
        <w:top w:val="single" w:sz="4" w:space="0" w:color="000000"/>
        <w:left w:val="single" w:sz="4" w:space="0" w:color="000000"/>
        <w:bottom w:val="single" w:sz="4" w:space="0" w:color="000000"/>
      </w:pBdr>
      <w:shd w:val="clear" w:color="9BC2E6" w:fill="9BC2E6"/>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37" w:customStyle="1">
    <w:name w:val="xl137"/>
    <w:basedOn w:val="Normal"/>
    <w:qFormat/>
    <w:rsid w:val="00f7434b"/>
    <w:pPr>
      <w:pBdr>
        <w:top w:val="single" w:sz="4" w:space="0" w:color="000000"/>
        <w:bottom w:val="single" w:sz="4" w:space="0" w:color="000000"/>
      </w:pBdr>
      <w:shd w:val="clear" w:color="9BC2E6" w:fill="9BC2E6"/>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38" w:customStyle="1">
    <w:name w:val="xl138"/>
    <w:basedOn w:val="Normal"/>
    <w:qFormat/>
    <w:rsid w:val="00f7434b"/>
    <w:pPr>
      <w:pBdr>
        <w:top w:val="single" w:sz="4" w:space="0" w:color="000000"/>
        <w:bottom w:val="single" w:sz="4" w:space="0" w:color="000000"/>
        <w:right w:val="single" w:sz="4" w:space="0" w:color="000000"/>
      </w:pBdr>
      <w:shd w:val="clear" w:color="9BC2E6" w:fill="9BC2E6"/>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39" w:customStyle="1">
    <w:name w:val="xl139"/>
    <w:basedOn w:val="Normal"/>
    <w:qFormat/>
    <w:rsid w:val="00f7434b"/>
    <w:pPr>
      <w:pBdr>
        <w:top w:val="single" w:sz="4" w:space="0" w:color="000000"/>
        <w:left w:val="single" w:sz="4" w:space="0" w:color="000000"/>
        <w:bottom w:val="single" w:sz="4" w:space="0" w:color="000000"/>
      </w:pBdr>
      <w:shd w:val="clear" w:color="70B5F4" w:fill="70B5F4"/>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0" w:customStyle="1">
    <w:name w:val="xl140"/>
    <w:basedOn w:val="Normal"/>
    <w:qFormat/>
    <w:rsid w:val="00f7434b"/>
    <w:pPr>
      <w:pBdr>
        <w:top w:val="single" w:sz="4" w:space="0" w:color="000000"/>
        <w:bottom w:val="single" w:sz="4" w:space="0" w:color="000000"/>
      </w:pBdr>
      <w:shd w:val="clear" w:color="70B5F4" w:fill="70B5F4"/>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1" w:customStyle="1">
    <w:name w:val="xl141"/>
    <w:basedOn w:val="Normal"/>
    <w:qFormat/>
    <w:rsid w:val="00f7434b"/>
    <w:pPr>
      <w:pBdr>
        <w:top w:val="single" w:sz="4" w:space="0" w:color="000000"/>
        <w:bottom w:val="single" w:sz="4" w:space="0" w:color="000000"/>
        <w:right w:val="single" w:sz="4" w:space="0" w:color="000000"/>
      </w:pBdr>
      <w:shd w:val="clear" w:color="70B5F4" w:fill="70B5F4"/>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2" w:customStyle="1">
    <w:name w:val="xl142"/>
    <w:basedOn w:val="Normal"/>
    <w:qFormat/>
    <w:rsid w:val="00f7434b"/>
    <w:pPr>
      <w:pBdr>
        <w:top w:val="single" w:sz="4" w:space="0" w:color="000000"/>
        <w:left w:val="single" w:sz="4" w:space="0" w:color="000000"/>
        <w:bottom w:val="single" w:sz="4" w:space="0" w:color="000000"/>
      </w:pBdr>
      <w:shd w:val="clear" w:color="669966" w:fill="669966"/>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3" w:customStyle="1">
    <w:name w:val="xl143"/>
    <w:basedOn w:val="Normal"/>
    <w:qFormat/>
    <w:rsid w:val="00f7434b"/>
    <w:pPr>
      <w:pBdr>
        <w:top w:val="single" w:sz="4" w:space="0" w:color="000000"/>
        <w:bottom w:val="single" w:sz="4" w:space="0" w:color="000000"/>
      </w:pBdr>
      <w:shd w:val="clear" w:color="669966" w:fill="669966"/>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4" w:customStyle="1">
    <w:name w:val="xl144"/>
    <w:basedOn w:val="Normal"/>
    <w:qFormat/>
    <w:rsid w:val="00f7434b"/>
    <w:pPr>
      <w:pBdr>
        <w:top w:val="single" w:sz="4" w:space="0" w:color="000000"/>
        <w:left w:val="single" w:sz="4" w:space="0" w:color="000000"/>
        <w:bottom w:val="single" w:sz="4" w:space="0" w:color="000000"/>
      </w:pBdr>
      <w:shd w:val="clear" w:color="53AB68" w:fill="53AB68"/>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5" w:customStyle="1">
    <w:name w:val="xl145"/>
    <w:basedOn w:val="Normal"/>
    <w:qFormat/>
    <w:rsid w:val="00f7434b"/>
    <w:pPr>
      <w:pBdr>
        <w:top w:val="single" w:sz="4" w:space="0" w:color="000000"/>
        <w:bottom w:val="single" w:sz="4" w:space="0" w:color="000000"/>
      </w:pBdr>
      <w:shd w:val="clear" w:color="53AB68" w:fill="53AB68"/>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6" w:customStyle="1">
    <w:name w:val="xl146"/>
    <w:basedOn w:val="Normal"/>
    <w:qFormat/>
    <w:rsid w:val="00f7434b"/>
    <w:pPr>
      <w:pBdr>
        <w:top w:val="single" w:sz="4" w:space="0" w:color="000000"/>
        <w:left w:val="single" w:sz="4" w:space="0" w:color="000000"/>
        <w:bottom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47" w:customStyle="1">
    <w:name w:val="xl147"/>
    <w:basedOn w:val="Normal"/>
    <w:qFormat/>
    <w:rsid w:val="00f7434b"/>
    <w:pPr>
      <w:pBdr>
        <w:top w:val="single" w:sz="4" w:space="0" w:color="000000"/>
        <w:bottom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48" w:customStyle="1">
    <w:name w:val="xl148"/>
    <w:basedOn w:val="Normal"/>
    <w:qFormat/>
    <w:rsid w:val="00f7434b"/>
    <w:pPr>
      <w:pBdr>
        <w:top w:val="single" w:sz="4" w:space="0" w:color="000000"/>
        <w:bottom w:val="single" w:sz="4" w:space="0" w:color="000000"/>
        <w:right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49" w:customStyle="1">
    <w:name w:val="xl149"/>
    <w:basedOn w:val="Normal"/>
    <w:qFormat/>
    <w:rsid w:val="00f7434b"/>
    <w:pPr>
      <w:pBdr>
        <w:top w:val="single" w:sz="4" w:space="0" w:color="000000"/>
        <w:left w:val="single" w:sz="4" w:space="0" w:color="000000"/>
        <w:bottom w:val="single" w:sz="4" w:space="0" w:color="000000"/>
      </w:pBdr>
      <w:shd w:val="clear" w:color="0087E2" w:fill="0087E2"/>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0" w:customStyle="1">
    <w:name w:val="xl150"/>
    <w:basedOn w:val="Normal"/>
    <w:qFormat/>
    <w:rsid w:val="00f7434b"/>
    <w:pPr>
      <w:pBdr>
        <w:top w:val="single" w:sz="4" w:space="0" w:color="000000"/>
        <w:bottom w:val="single" w:sz="4" w:space="0" w:color="000000"/>
      </w:pBdr>
      <w:shd w:val="clear" w:color="0087E2" w:fill="0087E2"/>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1" w:customStyle="1">
    <w:name w:val="xl151"/>
    <w:basedOn w:val="Normal"/>
    <w:qFormat/>
    <w:rsid w:val="00f7434b"/>
    <w:pPr>
      <w:pBdr>
        <w:top w:val="single" w:sz="4" w:space="0" w:color="000000"/>
        <w:bottom w:val="single" w:sz="4" w:space="0" w:color="000000"/>
        <w:right w:val="single" w:sz="4" w:space="0" w:color="000000"/>
      </w:pBdr>
      <w:shd w:val="clear" w:color="0087E2" w:fill="0087E2"/>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2" w:customStyle="1">
    <w:name w:val="xl152"/>
    <w:basedOn w:val="Normal"/>
    <w:qFormat/>
    <w:rsid w:val="00f7434b"/>
    <w:pPr>
      <w:pBdr>
        <w:top w:val="single" w:sz="4" w:space="0" w:color="000000"/>
        <w:left w:val="single" w:sz="4" w:space="0" w:color="000000"/>
        <w:bottom w:val="single" w:sz="4" w:space="0" w:color="000000"/>
      </w:pBdr>
      <w:shd w:val="clear" w:color="C65911" w:fill="C65911"/>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3" w:customStyle="1">
    <w:name w:val="xl153"/>
    <w:basedOn w:val="Normal"/>
    <w:qFormat/>
    <w:rsid w:val="00f7434b"/>
    <w:pPr>
      <w:pBdr>
        <w:top w:val="single" w:sz="4" w:space="0" w:color="000000"/>
        <w:bottom w:val="single" w:sz="4" w:space="0" w:color="000000"/>
      </w:pBdr>
      <w:shd w:val="clear" w:color="C65911" w:fill="C65911"/>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4" w:customStyle="1">
    <w:name w:val="xl154"/>
    <w:basedOn w:val="Normal"/>
    <w:qFormat/>
    <w:rsid w:val="00f7434b"/>
    <w:pPr>
      <w:pBdr>
        <w:top w:val="single" w:sz="4" w:space="0" w:color="000000"/>
        <w:bottom w:val="single" w:sz="4" w:space="0" w:color="000000"/>
        <w:right w:val="single" w:sz="4" w:space="0" w:color="000000"/>
      </w:pBdr>
      <w:shd w:val="clear" w:color="C65911" w:fill="C65911"/>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5" w:customStyle="1">
    <w:name w:val="xl155"/>
    <w:basedOn w:val="Normal"/>
    <w:qFormat/>
    <w:rsid w:val="00f7434b"/>
    <w:pPr>
      <w:pBdr>
        <w:top w:val="single" w:sz="4" w:space="0" w:color="000000"/>
        <w:left w:val="single" w:sz="4" w:space="0" w:color="000000"/>
        <w:bottom w:val="single" w:sz="4" w:space="0" w:color="000000"/>
      </w:pBdr>
      <w:shd w:val="clear" w:color="FF9900" w:fill="FF9900"/>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6" w:customStyle="1">
    <w:name w:val="xl156"/>
    <w:basedOn w:val="Normal"/>
    <w:qFormat/>
    <w:rsid w:val="00f7434b"/>
    <w:pPr>
      <w:pBdr>
        <w:top w:val="single" w:sz="4" w:space="0" w:color="000000"/>
        <w:bottom w:val="single" w:sz="4" w:space="0" w:color="000000"/>
      </w:pBdr>
      <w:shd w:val="clear" w:color="FF9900" w:fill="FF9900"/>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7" w:customStyle="1">
    <w:name w:val="xl157"/>
    <w:basedOn w:val="Normal"/>
    <w:qFormat/>
    <w:rsid w:val="00f7434b"/>
    <w:pPr>
      <w:pBdr>
        <w:top w:val="single" w:sz="4" w:space="0" w:color="000000"/>
        <w:bottom w:val="single" w:sz="4" w:space="0" w:color="000000"/>
        <w:right w:val="single" w:sz="4" w:space="0" w:color="000000"/>
      </w:pBdr>
      <w:shd w:val="clear" w:color="FF9900" w:fill="FF9900"/>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Spistreci4">
    <w:name w:val="TOC 4"/>
    <w:basedOn w:val="Normal"/>
    <w:next w:val="Normal"/>
    <w:autoRedefine/>
    <w:uiPriority w:val="39"/>
    <w:unhideWhenUsed/>
    <w:rsid w:val="004b1586"/>
    <w:pPr>
      <w:spacing w:lineRule="auto" w:line="259" w:before="0" w:after="100"/>
      <w:ind w:left="660" w:hanging="0"/>
      <w:jc w:val="left"/>
    </w:pPr>
    <w:rPr>
      <w:lang w:eastAsia="pl-PL"/>
    </w:rPr>
  </w:style>
  <w:style w:type="paragraph" w:styleId="Spistreci5">
    <w:name w:val="TOC 5"/>
    <w:basedOn w:val="Normal"/>
    <w:next w:val="Normal"/>
    <w:autoRedefine/>
    <w:uiPriority w:val="39"/>
    <w:unhideWhenUsed/>
    <w:rsid w:val="004b1586"/>
    <w:pPr>
      <w:spacing w:lineRule="auto" w:line="259" w:before="0" w:after="100"/>
      <w:ind w:left="880" w:hanging="0"/>
      <w:jc w:val="left"/>
    </w:pPr>
    <w:rPr>
      <w:lang w:eastAsia="pl-PL"/>
    </w:rPr>
  </w:style>
  <w:style w:type="paragraph" w:styleId="Spistreci6">
    <w:name w:val="TOC 6"/>
    <w:basedOn w:val="Normal"/>
    <w:next w:val="Normal"/>
    <w:autoRedefine/>
    <w:uiPriority w:val="39"/>
    <w:unhideWhenUsed/>
    <w:rsid w:val="004b1586"/>
    <w:pPr>
      <w:spacing w:lineRule="auto" w:line="259" w:before="0" w:after="100"/>
      <w:ind w:left="1100" w:hanging="0"/>
      <w:jc w:val="left"/>
    </w:pPr>
    <w:rPr>
      <w:lang w:eastAsia="pl-PL"/>
    </w:rPr>
  </w:style>
  <w:style w:type="paragraph" w:styleId="Spistreci7">
    <w:name w:val="TOC 7"/>
    <w:basedOn w:val="Normal"/>
    <w:next w:val="Normal"/>
    <w:autoRedefine/>
    <w:uiPriority w:val="39"/>
    <w:unhideWhenUsed/>
    <w:rsid w:val="004b1586"/>
    <w:pPr>
      <w:spacing w:lineRule="auto" w:line="259" w:before="0" w:after="100"/>
      <w:ind w:left="1320" w:hanging="0"/>
      <w:jc w:val="left"/>
    </w:pPr>
    <w:rPr>
      <w:lang w:eastAsia="pl-PL"/>
    </w:rPr>
  </w:style>
  <w:style w:type="paragraph" w:styleId="Spistreci8">
    <w:name w:val="TOC 8"/>
    <w:basedOn w:val="Normal"/>
    <w:next w:val="Normal"/>
    <w:autoRedefine/>
    <w:uiPriority w:val="39"/>
    <w:unhideWhenUsed/>
    <w:rsid w:val="004b1586"/>
    <w:pPr>
      <w:spacing w:lineRule="auto" w:line="259" w:before="0" w:after="100"/>
      <w:ind w:left="1540" w:hanging="0"/>
      <w:jc w:val="left"/>
    </w:pPr>
    <w:rPr>
      <w:lang w:eastAsia="pl-PL"/>
    </w:rPr>
  </w:style>
  <w:style w:type="paragraph" w:styleId="Spistreci9">
    <w:name w:val="TOC 9"/>
    <w:basedOn w:val="Normal"/>
    <w:next w:val="Normal"/>
    <w:autoRedefine/>
    <w:uiPriority w:val="39"/>
    <w:unhideWhenUsed/>
    <w:rsid w:val="004b1586"/>
    <w:pPr>
      <w:spacing w:lineRule="auto" w:line="259" w:before="0" w:after="100"/>
      <w:ind w:left="1760" w:hanging="0"/>
      <w:jc w:val="left"/>
    </w:pPr>
    <w:rPr>
      <w:lang w:eastAsia="pl-PL"/>
    </w:rPr>
  </w:style>
  <w:style w:type="paragraph" w:styleId="Default" w:customStyle="1">
    <w:name w:val="Default"/>
    <w:qFormat/>
    <w:rsid w:val="00fa4b06"/>
    <w:pPr>
      <w:widowControl/>
      <w:suppressAutoHyphens w:val="true"/>
      <w:bidi w:val="0"/>
      <w:spacing w:lineRule="auto" w:line="240" w:before="0" w:after="0"/>
      <w:jc w:val="left"/>
    </w:pPr>
    <w:rPr>
      <w:rFonts w:ascii="Calibri" w:hAnsi="Calibri" w:eastAsia="Cambria" w:cs="Calibri" w:eastAsiaTheme="minorHAnsi"/>
      <w:color w:val="000000"/>
      <w:kern w:val="0"/>
      <w:sz w:val="24"/>
      <w:szCs w:val="24"/>
      <w:lang w:val="pl-PL" w:eastAsia="en-US" w:bidi="ar-SA"/>
    </w:rPr>
  </w:style>
  <w:style w:type="paragraph" w:styleId="Akapitzlist1" w:customStyle="1">
    <w:name w:val="Akapit z listą1"/>
    <w:basedOn w:val="Normal"/>
    <w:qFormat/>
    <w:rsid w:val="006d7df5"/>
    <w:pPr>
      <w:suppressAutoHyphens w:val="true"/>
      <w:spacing w:before="0" w:after="200"/>
      <w:ind w:left="720" w:hanging="0"/>
      <w:jc w:val="left"/>
    </w:pPr>
    <w:rPr>
      <w:rFonts w:ascii="Calibri" w:hAnsi="Calibri" w:eastAsia="SimSun" w:cs="Tahoma"/>
      <w:lang w:eastAsia="ar-SA"/>
    </w:rPr>
  </w:style>
  <w:style w:type="paragraph" w:styleId="Nagwekspisutreci">
    <w:name w:val="TOC Heading"/>
    <w:basedOn w:val="Nagwekindeksu"/>
    <w:pPr>
      <w:suppressLineNumbers/>
      <w:ind w:left="0" w:hanging="0"/>
    </w:pPr>
    <w:rPr>
      <w:b/>
      <w:bCs/>
      <w:sz w:val="32"/>
      <w:szCs w:val="32"/>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b77e1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Zwykatabela1">
    <w:name w:val="Plain Table 1"/>
    <w:basedOn w:val="Standardowy"/>
    <w:uiPriority w:val="41"/>
    <w:rsid w:val="00c87209"/>
    <w:pPr>
      <w:spacing w:after="0" w:line="240" w:lineRule="auto"/>
    </w:pPr>
    <w:tblPr>
      <w:tblStyleRowBandSize w:val="1"/>
      <w:tblStyleColBandSize w:val="1"/>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tblStylePr w:type="firstRow">
      <w:rPr>
        <w:b/>
        <w:bCs/>
      </w:rPr>
      <w:tblPr/>
    </w:tblStylePr>
    <w:tblStylePr w:type="lastRow">
      <w:rPr>
        <w:b/>
        <w:bCs/>
      </w:rPr>
      <w:tblPr/>
      <w:tcPr>
        <w:tcBorders>
          <w:top w:val="double" w:color="BFBFBF" w:themeColor="background1" w:sz="4" w:space="0"/>
        </w:tcBorders>
      </w:tc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i5ciemna">
    <w:name w:val="Grid Table 5 Dark"/>
    <w:basedOn w:val="Standardowy"/>
    <w:uiPriority w:val="50"/>
    <w:rsid w:val="00c87209"/>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Siatkatabelijasna">
    <w:name w:val="Grid Table Light"/>
    <w:basedOn w:val="Standardowy"/>
    <w:uiPriority w:val="40"/>
    <w:rsid w:val="00c87209"/>
    <w:pPr>
      <w:spacing w:after="0" w:line="240" w:lineRule="auto"/>
    </w:p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Wielkomiejski">
  <a:themeElements>
    <a:clrScheme name="Wielkomiejski">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Wielkomiejski">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A6532-CA9D-4C98-B313-BB54BFB38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Application>LibreOffice/7.2.2.2$Windows_X86_64 LibreOffice_project/02b2acce88a210515b4a5bb2e46cbfb63fe97d56</Application>
  <AppVersion>15.0000</AppVersion>
  <Pages>11</Pages>
  <Words>3723</Words>
  <Characters>25031</Characters>
  <CharactersWithSpaces>28597</CharactersWithSpaces>
  <Paragraphs>218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2025-01-02T07:43:00Z</dcterms:created>
  <dc:creator>OLSEN</dc:creator>
  <dc:description/>
  <dc:language>pl-PL</dc:language>
  <cp:lastModifiedBy/>
  <cp:lastPrinted>2024-06-24T08:57:00Z</cp:lastPrinted>
  <dcterms:modified xsi:type="dcterms:W3CDTF">2025-01-23T06:53:39Z</dcterms:modified>
  <cp:revision>40</cp:revision>
  <dc:subject/>
  <dc:title/>
</cp:coreProperties>
</file>

<file path=docProps/custom.xml><?xml version="1.0" encoding="utf-8"?>
<Properties xmlns="http://schemas.openxmlformats.org/officeDocument/2006/custom-properties" xmlns:vt="http://schemas.openxmlformats.org/officeDocument/2006/docPropsVTypes"/>
</file>